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1.png" ContentType="image/png"/>
  <Override PartName="/word/media/rId77.png" ContentType="image/png"/>
  <Override PartName="/word/media/rId164.png" ContentType="image/png"/>
  <Override PartName="/word/media/rId137.png" ContentType="image/png"/>
  <Override PartName="/word/media/rId34.png" ContentType="image/png"/>
  <Override PartName="/word/media/rId144.png" ContentType="image/png"/>
  <Override PartName="/word/media/rId141.png" ContentType="image/png"/>
  <Override PartName="/word/media/rId117.png" ContentType="image/png"/>
  <Override PartName="/word/media/rId167.png" ContentType="image/png"/>
  <Override PartName="/word/media/rId109.png" ContentType="image/png"/>
  <Override PartName="/word/media/rId112.jpg" ContentType="image/jpeg"/>
  <Override PartName="/word/media/rId130.png" ContentType="image/png"/>
  <Override PartName="/word/media/rId74.png" ContentType="image/png"/>
  <Override PartName="/word/media/rId126.jpg" ContentType="image/jpeg"/>
  <Override PartName="/word/media/rId148.png" ContentType="image/png"/>
  <Override PartName="/word/media/rId92.png" ContentType="image/png"/>
  <Override PartName="/word/media/rId88.png" ContentType="image/png"/>
  <Override PartName="/word/media/rId1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rPr>
          <w:rStyle w:val="SectionNumber"/>
        </w:rPr>
        <w:t xml:space="preserve">1</w:t>
      </w:r>
      <w:r>
        <w:tab/>
      </w: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used</w:t>
      </w:r>
      <w:r>
        <w:t xml:space="preserve"> </w:t>
      </w:r>
      <w:r>
        <w:rPr>
          <w:iCs/>
          <w:i/>
        </w:rPr>
        <w:t xml:space="preserve">Agrobacterium tumefaciens</w:t>
      </w:r>
      <w:r>
        <w:t xml:space="preserve"> </w:t>
      </w:r>
      <w:r>
        <w:t xml:space="preserve">as the vector for in-planta transformation. We used apples as a commercial fruit tree crop and poplar as a model system for trees. We experimented with a wide range of development regulators, and a few agroinfiltration strategis. Additionally we analyse tissue specific transcriptome to further understand gene expression patterns in tissue development, and scan for better normalizer genes for real-time quantitive PCR.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in-planta. Further we found ,based on the tissue specific transcriptome, that in poplar the most shoot tip specific transcription factor from the WUSCHEL family is WOX1.</w:t>
      </w:r>
    </w:p>
    <w:bookmarkEnd w:id="20"/>
    <w:bookmarkStart w:id="50" w:name="introduction"/>
    <w:p>
      <w:pPr>
        <w:pStyle w:val="Heading1"/>
      </w:pPr>
      <w:r>
        <w:rPr>
          <w:rStyle w:val="SectionNumber"/>
        </w:rPr>
        <w:t xml:space="preserve">2</w:t>
      </w:r>
      <w:r>
        <w:tab/>
      </w:r>
      <w:r>
        <w:t xml:space="preserve">Introduction</w:t>
      </w:r>
    </w:p>
    <w:bookmarkStart w:id="21" w:name="X2edcf4246711bfbaaa80aab790dce11cda02abc"/>
    <w:p>
      <w:pPr>
        <w:pStyle w:val="Heading2"/>
      </w:pPr>
      <w:r>
        <w:rPr>
          <w:rStyle w:val="SectionNumber"/>
        </w:rPr>
        <w:t xml:space="preserve">2.1</w:t>
      </w:r>
      <w:r>
        <w:tab/>
      </w:r>
      <w:r>
        <w:t xml:space="preserve">Trees and their vital role as source for food security</w:t>
      </w:r>
    </w:p>
    <w:p>
      <w:pPr>
        <w:pStyle w:val="FirstParagraph"/>
      </w:pPr>
      <w:r>
        <w:t xml:space="preserve">Food security is a fundamental necessity that kept mankind busy from the beginning of time. Many researchers today estimate that this need is under threat as a result of global environmental changes through land degradation, loss of biodiversity, changes in hydrology, and changes in climate patterns</w:t>
      </w:r>
      <w:r>
        <w:t xml:space="preserve">(Ericksen et al. 2009)</w:t>
      </w:r>
      <w:r>
        <w:t xml:space="preserve">. Moreover population growth is around 100 milion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plant improvement methods raises a drawback since trees have a long generation time.</w:t>
      </w:r>
    </w:p>
    <w:bookmarkEnd w:id="21"/>
    <w:bookmarkStart w:id="22" w:name="X573f94aeb8402d113d07d7826d3380401d9764f"/>
    <w:p>
      <w:pPr>
        <w:pStyle w:val="Heading2"/>
      </w:pPr>
      <w:r>
        <w:rPr>
          <w:rStyle w:val="SectionNumber"/>
        </w:rPr>
        <w:t xml:space="preserve">2.2</w:t>
      </w:r>
      <w:r>
        <w:tab/>
      </w: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that allows the highlighting of desirable traits in the plant. However this process is dependent on random mutations, making it slow. Further more, undesirable additional traits may appear.</w:t>
      </w:r>
    </w:p>
    <w:p>
      <w:pPr>
        <w:pStyle w:val="BodyText"/>
      </w:pPr>
      <w:r>
        <w:t xml:space="preserve">The second method that man has developed for improving the crop is breeding. Breeding at its core is based on the idea of merging traits from differente lines to a single cultivar through crossbreeding. In most cases, there is an all ready main cultivar line that harbors a variety of desirable triats and probably used as a commertial line. That cultivar would be crossbred with some exotic line whose over all traits (or phynotype) are not at the commercial standart but withhold some favorable trait. The descendants of that cross would have equal parts of genetic matirial donated from each of the parents, and through the proccess of backcrossing with the commertial parent and selecting for offsprings based on thier phynotype, it is possible to narrow in on a descendant with much of the commercial phynotype but that also keeps the desirable trait from the exotic line. This is why the commercial parent is often called the recurrent parent, and the exotic one is called the donor. Although this method is faster, this proccess takes many generations and even in annual plants takes a few years. Still, impressive results have been obtained in annual crops that have changed the fate of the human race to extremes. In trees, the time from polination to a grown fruit bearing tree takes a few years in of itself. As a result, to take the breeding proccess as is and apply it on trees takes decades. Therefor the realization of the potential in trees is not as high.</w:t>
      </w:r>
    </w:p>
    <w:bookmarkEnd w:id="22"/>
    <w:bookmarkStart w:id="23" w:name="X6d7d409bafa83fe8378cb1952513ce829505214"/>
    <w:p>
      <w:pPr>
        <w:pStyle w:val="Heading2"/>
      </w:pPr>
      <w:r>
        <w:rPr>
          <w:rStyle w:val="SectionNumber"/>
        </w:rPr>
        <w:t xml:space="preserve">2.3</w:t>
      </w:r>
      <w:r>
        <w:tab/>
      </w: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phynotipic outcome. By exposing seeds to chemicals or radiation we are able to increase the frequency of mutation events, some fraction of those mutations results with desirable traits. This process is called mutation breeding and plants created using mutagenesis are sometimes called mutagenic plants or mutagenic seeds. There are different kinds of mutagenic breeding, for instance such as chemical mutagens like ethyl-methanesulfonate and dimethyl-sulfate, or radiation such as gamma rays and X-rays</w:t>
      </w:r>
      <w:r>
        <w:t xml:space="preserve">(Schouten &amp; Jacobsen 2007)</w:t>
      </w:r>
      <w:r>
        <w:t xml:space="preserve">. Although this method increase the rate of random mutation formation, its still relies on random occurrences and offspring selection.</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3"/>
    <w:bookmarkStart w:id="29" w:name="exogenous-dna-delivery-methods"/>
    <w:p>
      <w:pPr>
        <w:pStyle w:val="Heading2"/>
      </w:pPr>
      <w:r>
        <w:rPr>
          <w:rStyle w:val="SectionNumber"/>
        </w:rPr>
        <w:t xml:space="preserve">2.4</w:t>
      </w:r>
      <w:r>
        <w:tab/>
      </w:r>
      <w:r>
        <w:t xml:space="preserve">Exogenous DNA delivery methods</w:t>
      </w:r>
    </w:p>
    <w:p>
      <w:pPr>
        <w:pStyle w:val="FirstParagraph"/>
      </w:pPr>
      <w:r>
        <w:t xml:space="preserve">Techniques developed for the introduction of foreign DNA genes (exogenous) into a cell.</w:t>
      </w:r>
    </w:p>
    <w:bookmarkStart w:id="24" w:name="Xb25ff746e950c2237857d4c5e3d2b6fb69c2728"/>
    <w:p>
      <w:pPr>
        <w:pStyle w:val="Heading3"/>
      </w:pPr>
      <w:r>
        <w:rPr>
          <w:rStyle w:val="SectionNumber"/>
        </w:rPr>
        <w:t xml:space="preserve">2.4.1</w:t>
      </w:r>
      <w:r>
        <w:tab/>
      </w: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 The technique involved with such micro-projectile delivery of DNA is often referred to as biolistics</w:t>
      </w:r>
      <w:r>
        <w:t xml:space="preserve">(O’Brien &amp; Lummis 2011)</w:t>
      </w:r>
      <w:r>
        <w:t xml:space="preserve">. This device is able to transform almost any type of cell and is not limited to the transformation of the nucleus, it can also transform organelles, including plastids and mitochondria</w:t>
      </w:r>
      <w:r>
        <w:t xml:space="preserve">(Rakoczy-Trojanowska 2002)</w:t>
      </w:r>
      <w:r>
        <w:t xml:space="preserve">. Biolistics has proven to be a versatile method of genetic modification and it is generally preferred to engineer transformation-resistant crops, such as cereals. Notably, Bt maize is a product of biolistics. Biolistics introduces DNA randomly into the target cells.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4"/>
    <w:bookmarkStart w:id="25" w:name="protoplast-transformation"/>
    <w:p>
      <w:pPr>
        <w:pStyle w:val="Heading3"/>
      </w:pPr>
      <w:r>
        <w:rPr>
          <w:rStyle w:val="SectionNumber"/>
        </w:rPr>
        <w:t xml:space="preserve">2.4.2</w:t>
      </w:r>
      <w:r>
        <w:tab/>
      </w: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5"/>
    <w:bookmarkStart w:id="26" w:name="agrobacterium-mediated-transformation"/>
    <w:p>
      <w:pPr>
        <w:pStyle w:val="Heading3"/>
      </w:pPr>
      <w:r>
        <w:rPr>
          <w:rStyle w:val="SectionNumber"/>
        </w:rPr>
        <w:t xml:space="preserve">2.4.3</w:t>
      </w:r>
      <w:r>
        <w:tab/>
      </w: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6"/>
    <w:bookmarkStart w:id="27" w:name="virus-as-a-dna-delivery-vector"/>
    <w:p>
      <w:pPr>
        <w:pStyle w:val="Heading3"/>
      </w:pPr>
      <w:r>
        <w:rPr>
          <w:rStyle w:val="SectionNumber"/>
        </w:rPr>
        <w:t xml:space="preserve">2.4.4</w:t>
      </w:r>
      <w:r>
        <w:tab/>
      </w:r>
      <w:r>
        <w:t xml:space="preserve">Virus as a DNA delivery vector</w:t>
      </w:r>
    </w:p>
    <w:p>
      <w:pPr>
        <w:pStyle w:val="FirstParagraph"/>
      </w:pPr>
      <w:r>
        <w:t xml:space="preserve">Virus mediated gene delivery utilizes the ability of a virus to inject their genetic matirial into a host cell and takes advantage of the virus’s ability to hijack the cells machinary for replication and integration to the genome. This method has been used to deliver Small interfering RNAs (siRNAs) in order to silence a certain gene and hence it is called Virus-Induced Gene Silencing.</w:t>
      </w:r>
    </w:p>
    <w:bookmarkEnd w:id="27"/>
    <w:bookmarkStart w:id="28" w:name="virus-induced-gene-silencing-vigs"/>
    <w:p>
      <w:pPr>
        <w:pStyle w:val="Heading3"/>
      </w:pPr>
      <w:r>
        <w:rPr>
          <w:rStyle w:val="SectionNumber"/>
        </w:rPr>
        <w:t xml:space="preserve">2.4.5</w:t>
      </w:r>
      <w:r>
        <w:tab/>
      </w: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roduce double-strand RNA (dsRNA) which trigger RNAmediated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 Nicotiana benthamiana plants</w:t>
      </w:r>
      <w:r>
        <w:t xml:space="preserve">(Harries et al. 2008)</w:t>
      </w:r>
      <w:r>
        <w:t xml:space="preserve">. Tobacco rattle virus (TRV) was also modified to be a tool for gene silencing in plants. TRV has a bipartite genome, consisting of two positive-sense single-stranded RNAs, designated RNA1 and RNA2. The significant advantage of TRV-based VIGS in Solanaceous species is the ease of introduction of the VIGS vector into plants. The VIGS vector is placed between Rigth Border (RB) and Left Border (LB) sites of T-DNA and inserted into Agrobacterium tumefaciens. Another property of TRV is the more vigorous spreading all over the entire plant including meristem, and infection symptoms of TRV are mild</w:t>
      </w:r>
      <w:r>
        <w:t xml:space="preserve">(Ratcliff et al. 2001)</w:t>
      </w:r>
      <w:r>
        <w:t xml:space="preserve">. Lately barley stripe mosaic virus (BSMV) was developed for efficient silencing of pds gene in barley. This system was then used for silencing of wheat genes. BSMV is a positive sense RNA virus containing a tripartite (</w:t>
      </w:r>
      <m:oMath>
        <m:r>
          <m:t>α</m:t>
        </m:r>
      </m:oMath>
      <w:r>
        <w:t xml:space="preserve">,</w:t>
      </w:r>
      <m:oMath>
        <m:r>
          <m:t>β</m:t>
        </m:r>
      </m:oMath>
      <w:r>
        <w:t xml:space="preserve">,</w:t>
      </w:r>
      <m:oMath>
        <m:r>
          <m:t>γ</m:t>
        </m:r>
      </m:oMath>
      <w:r>
        <w:t xml:space="preserve">) genome. The modified</w:t>
      </w:r>
      <w:r>
        <w:t xml:space="preserve"> </w:t>
      </w:r>
      <m:oMath>
        <m:r>
          <m:t>γ</m:t>
        </m:r>
      </m:oMath>
      <w:r>
        <w:t xml:space="preserve"> </w:t>
      </w:r>
      <w:r>
        <w:t xml:space="preserve">of BSMV genome allows simple cloning of silencing DNA fragment from the gene of interest.</w:t>
      </w:r>
      <w:r>
        <w:t xml:space="preserve"> </w:t>
      </w:r>
      <m:oMath>
        <m:r>
          <m:t>β</m:t>
        </m:r>
      </m:oMath>
      <w:r>
        <w:t xml:space="preserve"> </w:t>
      </w:r>
      <w:r>
        <w:t xml:space="preserve">genome has been deleted for viral coat protein production defect</w:t>
      </w:r>
      <w:r>
        <w:t xml:space="preserve">(Fire et al. 1998)</w:t>
      </w:r>
      <w:r>
        <w:t xml:space="preserve">.</w:t>
      </w:r>
    </w:p>
    <w:bookmarkEnd w:id="28"/>
    <w:bookmarkEnd w:id="29"/>
    <w:bookmarkStart w:id="33" w:name="site-specific-endonucleases"/>
    <w:p>
      <w:pPr>
        <w:pStyle w:val="Heading2"/>
      </w:pPr>
      <w:r>
        <w:rPr>
          <w:rStyle w:val="SectionNumber"/>
        </w:rPr>
        <w:t xml:space="preserve">2.5</w:t>
      </w:r>
      <w:r>
        <w:tab/>
      </w: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0" w:name="zinc-finger-nucleases-zfns"/>
    <w:p>
      <w:pPr>
        <w:pStyle w:val="Heading3"/>
      </w:pPr>
      <w:r>
        <w:rPr>
          <w:rStyle w:val="SectionNumber"/>
        </w:rPr>
        <w:t xml:space="preserve">2.5.1</w:t>
      </w:r>
      <w:r>
        <w:tab/>
      </w: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et al. 1996)</w:t>
      </w:r>
      <w:r>
        <w:t xml:space="preserve">.</w:t>
      </w:r>
    </w:p>
    <w:bookmarkEnd w:id="30"/>
    <w:bookmarkStart w:id="31" w:name="Xb0910afd2c82c826335a2c380cac68532659159"/>
    <w:p>
      <w:pPr>
        <w:pStyle w:val="Heading3"/>
      </w:pPr>
      <w:r>
        <w:rPr>
          <w:rStyle w:val="SectionNumber"/>
        </w:rPr>
        <w:t xml:space="preserve">2.5.2</w:t>
      </w:r>
      <w:r>
        <w:tab/>
      </w: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1"/>
    <w:bookmarkStart w:id="32" w:name="Xbc068550fcd0f9e31c8b3ef792c36a1ab3c35d9"/>
    <w:p>
      <w:pPr>
        <w:pStyle w:val="Heading3"/>
      </w:pPr>
      <w:r>
        <w:rPr>
          <w:rStyle w:val="SectionNumber"/>
        </w:rPr>
        <w:t xml:space="preserve">2.5.3</w:t>
      </w:r>
      <w:r>
        <w:tab/>
      </w: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2"/>
    <w:bookmarkEnd w:id="33"/>
    <w:bookmarkStart w:id="38" w:name="genetic-editing-bottleneck"/>
    <w:p>
      <w:pPr>
        <w:pStyle w:val="Heading2"/>
      </w:pPr>
      <w:r>
        <w:rPr>
          <w:rStyle w:val="SectionNumber"/>
        </w:rPr>
        <w:t xml:space="preserve">2.6</w:t>
      </w:r>
      <w:r>
        <w:tab/>
      </w:r>
      <w:r>
        <w:t xml:space="preserve">Genetic Editing bottleneck</w:t>
      </w:r>
    </w:p>
    <w:p>
      <w:pPr>
        <w:pStyle w:val="FirstParagraph"/>
      </w:pPr>
      <w:r>
        <w:t xml:space="preserve">Bottlenecks need to be overcome before the full potential of this technology is realized in plants. Plants distinguish themselves from most complex eukaryotes in the totipotency of their tissues</w:t>
      </w:r>
      <w:r>
        <w:t xml:space="preserve">(Indra &amp; Vimla 1972)</w:t>
      </w:r>
      <w:r>
        <w:t xml:space="preserve">. This has long allowed researchers to convert explant into a whole plants,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asceptic enviroment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(Tester,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5" name="Picture"/>
            <a:graphic>
              <a:graphicData uri="http://schemas.openxmlformats.org/drawingml/2006/picture">
                <pic:pic>
                  <pic:nvPicPr>
                    <pic:cNvPr descr="Developing-noval-methods-for-gene-editing-in-trees_files/figure-docx/agricultural%20area%20per%20capita-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7">
        <w:r>
          <w:rPr>
            <w:rStyle w:val="Hyperlink"/>
          </w:rPr>
          <w:t xml:space="preserve">https://ourworldindata.org/</w:t>
        </w:r>
      </w:hyperlink>
    </w:p>
    <w:bookmarkEnd w:id="38"/>
    <w:bookmarkStart w:id="41" w:name="advance-genetic-editing-technologies"/>
    <w:p>
      <w:pPr>
        <w:pStyle w:val="Heading2"/>
      </w:pPr>
      <w:r>
        <w:rPr>
          <w:rStyle w:val="SectionNumber"/>
        </w:rPr>
        <w:t xml:space="preserve">2.7</w:t>
      </w:r>
      <w:r>
        <w:tab/>
      </w: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whose needed to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comprehensive effects on the plant by switching on specific genetic pathways with the use of trascription factors. those transcription factors are referred to as developmental regulators (DRs). It has been shown that by over expressing some DRs in the cell it would be possible to differentiate the cells in a more precise manner, similar to the work on induced pluripotent stem cells in humans. Some other work have been done to mitigate other drawbacks of tissue culture like precise growth medium and asceptic enviroment by utelizing the plant own enviroment to create a controled micro enviroment in-planta. Lately Zhang et al. shown promising work on pomelo, in which they intruduce a hybrid method of in-planta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revolutionaty in that tissue that is still attached to the plant is much less susceptible to contaminations and most of its micronutrients can come from the neighboring tissues.</w:t>
      </w:r>
    </w:p>
    <w:bookmarkStart w:id="39" w:name="Xd9220374cd1db210638e5fffe8677250261d75a"/>
    <w:p>
      <w:pPr>
        <w:pStyle w:val="Heading3"/>
      </w:pPr>
      <w:r>
        <w:rPr>
          <w:rStyle w:val="SectionNumber"/>
        </w:rPr>
        <w:t xml:space="preserve">2.7.1</w:t>
      </w:r>
      <w:r>
        <w:tab/>
      </w:r>
      <w:r>
        <w:t xml:space="preserve">De-novo meristem induction and transformation</w:t>
      </w:r>
    </w:p>
    <w:p>
      <w:pPr>
        <w:pStyle w:val="FirstParagraph"/>
      </w:pPr>
      <w:r>
        <w:t xml:space="preserve">Maher et al.</w:t>
      </w:r>
      <w:r>
        <w:t xml:space="preserve">(Maher et al. 2020)</w:t>
      </w:r>
      <w:r>
        <w:t xml:space="preserve"> </w:t>
      </w:r>
      <w:r>
        <w:t xml:space="preserve">introduced the next step in independence from tissue culture by combining the two approaches of in-planta transformation and de-novo meristem induction. In that mathod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w:t>
      </w:r>
      <w:r>
        <w:t xml:space="preserve">appears to function in keeping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cytokinin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9"/>
    <w:bookmarkStart w:id="40" w:name="virus-induced-gene-editing-vige"/>
    <w:p>
      <w:pPr>
        <w:pStyle w:val="Heading3"/>
      </w:pPr>
      <w:r>
        <w:rPr>
          <w:rStyle w:val="SectionNumber"/>
        </w:rPr>
        <w:t xml:space="preserve">2.7.2</w:t>
      </w:r>
      <w:r>
        <w:tab/>
      </w:r>
      <w:r>
        <w:t xml:space="preserve">Virus-Induced Gene Editing (VIGE)</w:t>
      </w:r>
    </w:p>
    <w:p>
      <w:pPr>
        <w:pStyle w:val="FirstParagraph"/>
      </w:pPr>
      <w:r>
        <w:t xml:space="preserve">VIGE is another example of in-planta transformation method with very different strategy in comparison to the former. It strives to achive systemic gene editing in order to spare the hurdle of regeneration. It has been demonstrated that the CRISPR/Cas system is able to achieve efficient gene editing in plants through either transient expression or transgenic plants. In order to bypasses the requirement for transformation and/or regeneration, Ali et al. developed a virus-mediated genome editing system by separating the two component Cas9 endonuclease and sgRNA. First, a Cas9 overexpressing (Cas9-OE) transgenic plant was generated through Agrobacterium-mediated transformation. Then, modified vector propagates through the plant similar to the VIGS process and edited the target gene</w:t>
      </w:r>
      <w:r>
        <w:t xml:space="preserve">(Ali et al. 2015)</w:t>
      </w:r>
      <w:r>
        <w:t xml:space="preserve">. Typically, VIGE approach results in low frequencies of gene editing in somatic cells, and recovery of mutant progeny is rare. Plant phloem exudates contain many transfer RNA-like sequences capable of cell-to-cell movement, which called mobile RNA sequences</w:t>
      </w:r>
      <w:r>
        <w:t xml:space="preserve">(Zhang et al. 2016)</w:t>
      </w:r>
      <w:r>
        <w:t xml:space="preserve">. To overcome VIGE setbacks, Voytas et al.</w:t>
      </w:r>
      <w:r>
        <w:t xml:space="preserve">(Ellison et al. 2020)</w:t>
      </w:r>
      <w:r>
        <w:t xml:space="preserve"> </w:t>
      </w:r>
      <w:r>
        <w:t xml:space="preserve">fused mobile RNA sequences to the 3-end of the sgRNA to gain better access to the germline. The mobile RNA sequences in question is Flowering LocusT (FT) and tRNAs. FT is transcribed in leaf vascular tissue and then moves to the shoot apical meristem to induce flowering. Their results suggests that RNA mobility sequences increase overall virus accumulation which, in turn, results in higher frequencies of heritable gene editing.</w:t>
      </w:r>
    </w:p>
    <w:bookmarkEnd w:id="40"/>
    <w:bookmarkEnd w:id="41"/>
    <w:bookmarkStart w:id="42" w:name="X11727287931170f0a9b8748aa4bc109b0d7d026"/>
    <w:p>
      <w:pPr>
        <w:pStyle w:val="Heading2"/>
      </w:pPr>
      <w:r>
        <w:rPr>
          <w:rStyle w:val="SectionNumber"/>
        </w:rPr>
        <w:t xml:space="preserve">2.8</w:t>
      </w:r>
      <w:r>
        <w:tab/>
      </w:r>
      <w:r>
        <w:t xml:space="preserve">Green fluorescent protein (GFP) as a reporter gene for transformation</w:t>
      </w:r>
    </w:p>
    <w:p>
      <w:pPr>
        <w:pStyle w:val="FirstParagraph"/>
      </w:pPr>
      <w:r>
        <w:t xml:space="preserve">The green fluorescent protein is a protein that exhibits bright green fluorescence when exposed to light in the blue to ultraviolet range. In this study, it is used as a reporter gene for the agrobacterium transformation.</w:t>
      </w:r>
    </w:p>
    <w:bookmarkEnd w:id="42"/>
    <w:bookmarkStart w:id="43" w:name="poplar-as-a-model-organism-for-trees"/>
    <w:p>
      <w:pPr>
        <w:pStyle w:val="Heading2"/>
      </w:pPr>
      <w:r>
        <w:rPr>
          <w:rStyle w:val="SectionNumber"/>
        </w:rPr>
        <w:t xml:space="preserve">2.9</w:t>
      </w:r>
      <w:r>
        <w:tab/>
      </w: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choose for poplar is the Phytoene desaturase (PDS) gene, because it is a well known reporter gene for gene editing. PDS gene encodes one of the important enzymes in the carotenoid biosynthesis pathway. Knockout of PDS gene disrupt the carotenoid synthesis and results in susceptibility to photobleaching of the chloroplasts, which in turn results in albino and dwarf phenotype. Thus, it is a suitable target for evaluation of gene knockout occurrences.</w:t>
      </w:r>
    </w:p>
    <w:bookmarkEnd w:id="43"/>
    <w:bookmarkStart w:id="44" w:name="apple-tree-as-a-commertial-crop"/>
    <w:p>
      <w:pPr>
        <w:pStyle w:val="Heading2"/>
      </w:pPr>
      <w:r>
        <w:rPr>
          <w:rStyle w:val="SectionNumber"/>
        </w:rPr>
        <w:t xml:space="preserve">2.10</w:t>
      </w:r>
      <w:r>
        <w:tab/>
      </w:r>
      <w:r>
        <w:t xml:space="preserve">Apple tree as a commertial crop</w:t>
      </w:r>
    </w:p>
    <w:p>
      <w:pPr>
        <w:pStyle w:val="FirstParagraph"/>
      </w:pPr>
      <w:r>
        <w:t xml:space="preserve">Apple trees are one of the most widely grown fruit tree in the world. In this study, apple plants are used as the commercial application for the transformation method. As a member of the Roseaceae plant family it carries the Self-incompatibility (SI) ferlilization system. SI is a complex system, one out of several mechanisms that prevent plants from self-fertilizing mainly by rejection of the male gametophyte to maintain and increase the genetic variability. Plants have evolved two distinct SI systems, the sporophytic (SSI) and the gametophytic (GSI) systems. In</w:t>
      </w:r>
      <w:r>
        <w:t xml:space="preserve"> </w:t>
      </w:r>
      <w:r>
        <w:rPr>
          <w:iCs/>
          <w:i/>
        </w:rPr>
        <w:t xml:space="preserve">Malus domestica</w:t>
      </w:r>
      <w:r>
        <w:t xml:space="preserve"> </w:t>
      </w:r>
      <w:r>
        <w:t xml:space="preserve">(Apple), the GSI system requires the production of female determinants, known as S-RNases, which is produced in the style and penetrate the pollen tube to interact with the male determinants. The penetration of S-RNase into the pollen tube triggering a series of responses involving membrane proteins that inhibits the pollen-tube’s growth process</w:t>
      </w:r>
      <w:r>
        <w:t xml:space="preserve"> </w:t>
      </w:r>
      <w:r>
        <w:t xml:space="preserve">(Del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w:t>
      </w:r>
      <w:r>
        <w:t xml:space="preserve"> </w:t>
      </w:r>
      <w:r>
        <w:t xml:space="preserve">two cultivars that pollinate each other). However, up to date non of apple cultivar are self compatible and following that we choose S-RNase as the target for gene editing.</w:t>
      </w:r>
    </w:p>
    <w:bookmarkEnd w:id="44"/>
    <w:bookmarkStart w:id="45" w:name="hypotheses"/>
    <w:p>
      <w:pPr>
        <w:pStyle w:val="Heading2"/>
      </w:pPr>
      <w:r>
        <w:rPr>
          <w:rStyle w:val="SectionNumber"/>
        </w:rPr>
        <w:t xml:space="preserve">2.11</w:t>
      </w:r>
      <w:r>
        <w:tab/>
      </w:r>
      <w:r>
        <w:t xml:space="preserve">Hypotheses</w:t>
      </w:r>
    </w:p>
    <w:p>
      <w:pPr>
        <w:pStyle w:val="FirstParagraph"/>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pStyle w:val="BodyText"/>
      </w:pPr>
      <w:r>
        <w:t xml:space="preserve">By infecting Cas9-OE plants with viral vector bearing sgRNA targeting PDS endogenes, it would be possible to isolate PDS knockout plant.</w:t>
      </w:r>
    </w:p>
    <w:p>
      <w:pPr>
        <w:pStyle w:val="BodyText"/>
      </w:pPr>
      <w:r>
        <w:t xml:space="preserve">By infecting Cas9-OE plants with viral vector bearing sgRNA targeting PDS endogenes fused with mobile RNA sequence, it would be possible to isolate from meristem PDS knockout plant.</w:t>
      </w:r>
    </w:p>
    <w:bookmarkEnd w:id="45"/>
    <w:bookmarkStart w:id="48" w:name="milstones"/>
    <w:p>
      <w:pPr>
        <w:pStyle w:val="Heading2"/>
      </w:pPr>
      <w:r>
        <w:rPr>
          <w:rStyle w:val="SectionNumber"/>
        </w:rPr>
        <w:t xml:space="preserve">2.12</w:t>
      </w:r>
      <w:r>
        <w:tab/>
      </w:r>
      <w:r>
        <w:t xml:space="preserve">Milstones</w:t>
      </w:r>
    </w:p>
    <w:bookmarkStart w:id="46" w:name="meristem-induction-and-transformation"/>
    <w:p>
      <w:pPr>
        <w:pStyle w:val="Heading3"/>
      </w:pPr>
      <w:r>
        <w:rPr>
          <w:rStyle w:val="SectionNumber"/>
        </w:rPr>
        <w:t xml:space="preserve">2.12.1</w:t>
      </w:r>
      <w:r>
        <w:tab/>
      </w:r>
      <w:r>
        <w:t xml:space="preserve">Meristem induction and transformation</w:t>
      </w:r>
    </w:p>
    <w:p>
      <w:pPr>
        <w:numPr>
          <w:ilvl w:val="0"/>
          <w:numId w:val="1002"/>
        </w:numPr>
      </w:pPr>
      <w:r>
        <w:t xml:space="preserve">Contraction of vectors with mix of DRs for shoot regeneration examination.</w:t>
      </w:r>
    </w:p>
    <w:p>
      <w:pPr>
        <w:numPr>
          <w:ilvl w:val="0"/>
          <w:numId w:val="1002"/>
        </w:numPr>
      </w:pPr>
      <w:r>
        <w:t xml:space="preserve">Achieve de-novo shoot regeneration as a result of the agro-infiltration.</w:t>
      </w:r>
    </w:p>
    <w:p>
      <w:pPr>
        <w:numPr>
          <w:ilvl w:val="0"/>
          <w:numId w:val="1002"/>
        </w:numPr>
      </w:pPr>
      <w:r>
        <w:t xml:space="preserve">Observe mutation in the target sequence.</w:t>
      </w:r>
    </w:p>
    <w:bookmarkEnd w:id="46"/>
    <w:bookmarkStart w:id="47" w:name="vige"/>
    <w:p>
      <w:pPr>
        <w:pStyle w:val="Heading3"/>
      </w:pPr>
      <w:r>
        <w:rPr>
          <w:rStyle w:val="SectionNumber"/>
        </w:rPr>
        <w:t xml:space="preserve">2.12.2</w:t>
      </w:r>
      <w:r>
        <w:tab/>
      </w:r>
      <w:r>
        <w:t xml:space="preserve">VIGE</w:t>
      </w:r>
    </w:p>
    <w:p>
      <w:pPr>
        <w:numPr>
          <w:ilvl w:val="0"/>
          <w:numId w:val="1003"/>
        </w:numPr>
      </w:pPr>
      <w:r>
        <w:t xml:space="preserve">Generate a Cas9-OE poplar plant using Agrobacterium-mediated transformation.</w:t>
      </w:r>
    </w:p>
    <w:p>
      <w:pPr>
        <w:numPr>
          <w:ilvl w:val="0"/>
          <w:numId w:val="1003"/>
        </w:numPr>
      </w:pPr>
      <w:r>
        <w:t xml:space="preserve">Contraction of viral vectors with sgRNA.</w:t>
      </w:r>
    </w:p>
    <w:p>
      <w:pPr>
        <w:numPr>
          <w:ilvl w:val="0"/>
          <w:numId w:val="1003"/>
        </w:numPr>
      </w:pPr>
      <w:r>
        <w:t xml:space="preserve">Contraction of viral vectors with sgRNA fused with mobile RNA sequence.</w:t>
      </w:r>
    </w:p>
    <w:p>
      <w:pPr>
        <w:numPr>
          <w:ilvl w:val="0"/>
          <w:numId w:val="1003"/>
        </w:numPr>
      </w:pPr>
      <w:r>
        <w:t xml:space="preserve">Observe virus propagation.</w:t>
      </w:r>
    </w:p>
    <w:p>
      <w:pPr>
        <w:numPr>
          <w:ilvl w:val="0"/>
          <w:numId w:val="1003"/>
        </w:numPr>
      </w:pPr>
      <w:r>
        <w:t xml:space="preserve">Observe mutation in the target sequence.</w:t>
      </w:r>
    </w:p>
    <w:bookmarkEnd w:id="47"/>
    <w:bookmarkEnd w:id="48"/>
    <w:bookmarkStart w:id="49" w:name="goal"/>
    <w:p>
      <w:pPr>
        <w:pStyle w:val="Heading2"/>
      </w:pPr>
      <w:r>
        <w:rPr>
          <w:rStyle w:val="SectionNumber"/>
        </w:rPr>
        <w:t xml:space="preserve">2.13</w:t>
      </w:r>
      <w:r>
        <w:tab/>
      </w:r>
      <w:r>
        <w:t xml:space="preserve">Goal</w:t>
      </w:r>
    </w:p>
    <w:p>
      <w:pPr>
        <w:numPr>
          <w:ilvl w:val="0"/>
          <w:numId w:val="1004"/>
        </w:numPr>
        <w:pStyle w:val="Compact"/>
      </w:pPr>
      <w:r>
        <w:t xml:space="preserve">Develop new method for in-planta trees transformation.</w:t>
      </w:r>
    </w:p>
    <w:bookmarkEnd w:id="49"/>
    <w:bookmarkEnd w:id="50"/>
    <w:bookmarkStart w:id="73" w:name="materials-and-methods"/>
    <w:p>
      <w:pPr>
        <w:pStyle w:val="Heading1"/>
      </w:pPr>
      <w:r>
        <w:rPr>
          <w:rStyle w:val="SectionNumber"/>
        </w:rPr>
        <w:t xml:space="preserve">3</w:t>
      </w:r>
      <w:r>
        <w:tab/>
      </w:r>
      <w:r>
        <w:t xml:space="preserve">Materials and methods</w:t>
      </w:r>
    </w:p>
    <w:p>
      <w:pPr>
        <w:pStyle w:val="FirstParagraph"/>
      </w:pPr>
      <w:r>
        <w:t xml:space="preserve">The main goal of this work is to develope a protocol as the final product. For that purpose we use an array of already established protocols for the preperation and validation of our experiments. Some of the protocols use in this work were used as is from the source, but many others were changed to fit our specific use case.</w:t>
      </w:r>
    </w:p>
    <w:bookmarkStart w:id="51" w:name="plant-matirial"/>
    <w:p>
      <w:pPr>
        <w:pStyle w:val="Heading2"/>
      </w:pPr>
      <w:r>
        <w:rPr>
          <w:rStyle w:val="SectionNumber"/>
        </w:rPr>
        <w:t xml:space="preserve">3.1</w:t>
      </w:r>
      <w:r>
        <w:tab/>
      </w:r>
      <w:r>
        <w:t xml:space="preserve">Plant matirial</w:t>
      </w:r>
    </w:p>
    <w:p>
      <w:pPr>
        <w:pStyle w:val="FirstParagraph"/>
      </w:pPr>
      <w:r>
        <w:t xml:space="preserve">For the experiments in this work, we used two types of plant material. The first is</w:t>
      </w:r>
      <w:r>
        <w:t xml:space="preserve"> </w:t>
      </w:r>
      <w:r>
        <w:rPr>
          <w:iCs/>
          <w:i/>
        </w:rPr>
        <w:t xml:space="preserve">Populus Alba-Tremula</w:t>
      </w:r>
      <w:r>
        <w:t xml:space="preserve"> </w:t>
      </w:r>
      <w:r>
        <w:t xml:space="preserve">(PopAT) cultivar, which were reproduced by vegetative reproduction in tissue culture (Table</w:t>
      </w:r>
      <w:r>
        <w:t xml:space="preserve"> </w:t>
      </w:r>
      <w:r>
        <w:t xml:space="preserve">). The second is</w:t>
      </w:r>
      <w:r>
        <w:t xml:space="preserve"> </w:t>
      </w:r>
      <w:r>
        <w:rPr>
          <w:iCs/>
          <w:i/>
        </w:rPr>
        <w:t xml:space="preserve">Malus domestica</w:t>
      </w:r>
      <w:r>
        <w:t xml:space="preserve"> </w:t>
      </w:r>
      <w:r>
        <w:t xml:space="preserve">(apple) cultivar, from seeds that were extracted from apple fruits.</w:t>
      </w:r>
    </w:p>
    <w:bookmarkEnd w:id="51"/>
    <w:bookmarkStart w:id="68" w:name="matirials"/>
    <w:p>
      <w:pPr>
        <w:pStyle w:val="Heading2"/>
      </w:pPr>
      <w:r>
        <w:rPr>
          <w:rStyle w:val="SectionNumber"/>
        </w:rPr>
        <w:t xml:space="preserve">3.2</w:t>
      </w:r>
      <w:r>
        <w:tab/>
      </w:r>
      <w:r>
        <w:t xml:space="preserve">Matirials</w:t>
      </w:r>
    </w:p>
    <w:p>
      <w:pPr>
        <w:numPr>
          <w:ilvl w:val="0"/>
          <w:numId w:val="1005"/>
        </w:numPr>
        <w:pStyle w:val="Compact"/>
      </w:pPr>
      <w:hyperlink r:id="rId52">
        <w:r>
          <w:rPr>
            <w:rStyle w:val="Hyperlink"/>
          </w:rPr>
          <w:t xml:space="preserve">Petri-dish</w:t>
        </w:r>
      </w:hyperlink>
      <w:r>
        <w:t xml:space="preserve"> </w:t>
      </w:r>
      <w:r>
        <w:t xml:space="preserve">(Greiner Bio-One™)</w:t>
      </w:r>
    </w:p>
    <w:p>
      <w:pPr>
        <w:numPr>
          <w:ilvl w:val="0"/>
          <w:numId w:val="1005"/>
        </w:numPr>
        <w:pStyle w:val="Compact"/>
      </w:pPr>
      <w:hyperlink r:id="rId53">
        <w:r>
          <w:rPr>
            <w:rStyle w:val="Hyperlink"/>
          </w:rPr>
          <w:t xml:space="preserve">Magenta™ vessel</w:t>
        </w:r>
      </w:hyperlink>
    </w:p>
    <w:p>
      <w:pPr>
        <w:numPr>
          <w:ilvl w:val="0"/>
          <w:numId w:val="1005"/>
        </w:numPr>
        <w:pStyle w:val="Compact"/>
      </w:pPr>
      <w:r>
        <w:t xml:space="preserve">PARAFILM® (Sigma-Aldrich™)</w:t>
      </w:r>
    </w:p>
    <w:p>
      <w:pPr>
        <w:numPr>
          <w:ilvl w:val="0"/>
          <w:numId w:val="1005"/>
        </w:numPr>
        <w:pStyle w:val="Compact"/>
      </w:pPr>
      <w:hyperlink r:id="rId54">
        <w:r>
          <w:rPr>
            <w:rStyle w:val="Hyperlink"/>
          </w:rPr>
          <w:t xml:space="preserve">Lysogeny broth</w:t>
        </w:r>
      </w:hyperlink>
      <w:r>
        <w:t xml:space="preserve"> </w:t>
      </w:r>
      <w:r>
        <w:t xml:space="preserve">(LB from ForMedium™)</w:t>
      </w:r>
    </w:p>
    <w:p>
      <w:pPr>
        <w:numPr>
          <w:ilvl w:val="0"/>
          <w:numId w:val="1005"/>
        </w:numPr>
        <w:pStyle w:val="Compact"/>
      </w:pPr>
      <w:hyperlink r:id="rId55">
        <w:r>
          <w:rPr>
            <w:rStyle w:val="Hyperlink"/>
          </w:rPr>
          <w:t xml:space="preserve">Agar</w:t>
        </w:r>
      </w:hyperlink>
    </w:p>
    <w:p>
      <w:pPr>
        <w:numPr>
          <w:ilvl w:val="0"/>
          <w:numId w:val="1005"/>
        </w:numPr>
        <w:pStyle w:val="Compact"/>
      </w:pPr>
      <w:r>
        <w:t xml:space="preserve">Murashige &amp; Skoog (MS from Sigma-Aldrich™)</w:t>
      </w:r>
    </w:p>
    <w:p>
      <w:pPr>
        <w:numPr>
          <w:ilvl w:val="0"/>
          <w:numId w:val="1005"/>
        </w:numPr>
        <w:pStyle w:val="Compact"/>
      </w:pPr>
      <w:hyperlink r:id="rId56">
        <w:r>
          <w:rPr>
            <w:rStyle w:val="Hyperlink"/>
          </w:rPr>
          <w:t xml:space="preserve">CTAB</w:t>
        </w:r>
      </w:hyperlink>
      <w:r>
        <w:t xml:space="preserve"> </w:t>
      </w:r>
      <w:r>
        <w:t xml:space="preserve">(Sigma-Aldrich™)</w:t>
      </w:r>
    </w:p>
    <w:p>
      <w:pPr>
        <w:numPr>
          <w:ilvl w:val="0"/>
          <w:numId w:val="1005"/>
        </w:numPr>
        <w:pStyle w:val="Compact"/>
      </w:pPr>
      <w:hyperlink r:id="rId57">
        <w:r>
          <w:rPr>
            <w:rStyle w:val="Hyperlink"/>
          </w:rPr>
          <w:t xml:space="preserve">TRI reagent®</w:t>
        </w:r>
      </w:hyperlink>
      <w:r>
        <w:t xml:space="preserve"> </w:t>
      </w:r>
      <w:r>
        <w:t xml:space="preserve">(Sigma-Aldrich™)</w:t>
      </w:r>
    </w:p>
    <w:p>
      <w:pPr>
        <w:numPr>
          <w:ilvl w:val="0"/>
          <w:numId w:val="1005"/>
        </w:numPr>
        <w:pStyle w:val="Compact"/>
      </w:pPr>
      <w:r>
        <w:t xml:space="preserve">Acetosyringone (Sigma-Aldrich™)</w:t>
      </w:r>
    </w:p>
    <w:bookmarkStart w:id="58" w:name="antibiotics"/>
    <w:p>
      <w:pPr>
        <w:pStyle w:val="Heading3"/>
      </w:pPr>
      <w:r>
        <w:rPr>
          <w:rStyle w:val="SectionNumber"/>
        </w:rPr>
        <w:t xml:space="preserve">3.2.1</w:t>
      </w:r>
      <w:r>
        <w:tab/>
      </w:r>
      <w:r>
        <w:t xml:space="preserve">antibiotics</w:t>
      </w:r>
    </w:p>
    <w:p>
      <w:pPr>
        <w:numPr>
          <w:ilvl w:val="0"/>
          <w:numId w:val="1006"/>
        </w:numPr>
        <w:pStyle w:val="Compact"/>
      </w:pPr>
      <w:r>
        <w:t xml:space="preserve">Ampicillin (Sigma-Aldrich™)</w:t>
      </w:r>
    </w:p>
    <w:p>
      <w:pPr>
        <w:numPr>
          <w:ilvl w:val="0"/>
          <w:numId w:val="1006"/>
        </w:numPr>
        <w:pStyle w:val="Compact"/>
      </w:pPr>
      <w:r>
        <w:t xml:space="preserve">Kanamycin (Sigma-Aldrich™)</w:t>
      </w:r>
    </w:p>
    <w:p>
      <w:pPr>
        <w:numPr>
          <w:ilvl w:val="0"/>
          <w:numId w:val="1006"/>
        </w:numPr>
        <w:pStyle w:val="Compact"/>
      </w:pPr>
      <w:r>
        <w:t xml:space="preserve">Rifampicin (Sigma-Aldrich™)</w:t>
      </w:r>
    </w:p>
    <w:p>
      <w:pPr>
        <w:numPr>
          <w:ilvl w:val="0"/>
          <w:numId w:val="1006"/>
        </w:numPr>
        <w:pStyle w:val="Compact"/>
      </w:pPr>
      <w:r>
        <w:t xml:space="preserve">Gentamicin (Sigma-Aldrich™)</w:t>
      </w:r>
    </w:p>
    <w:p>
      <w:pPr>
        <w:numPr>
          <w:ilvl w:val="0"/>
          <w:numId w:val="1006"/>
        </w:numPr>
        <w:pStyle w:val="Compact"/>
      </w:pPr>
      <w:r>
        <w:t xml:space="preserve">Spectinomycin (Sigma-Aldrich™)</w:t>
      </w:r>
    </w:p>
    <w:bookmarkEnd w:id="58"/>
    <w:bookmarkStart w:id="60" w:name="kits"/>
    <w:p>
      <w:pPr>
        <w:pStyle w:val="Heading3"/>
      </w:pPr>
      <w:r>
        <w:rPr>
          <w:rStyle w:val="SectionNumber"/>
        </w:rPr>
        <w:t xml:space="preserve">3.2.2</w:t>
      </w:r>
      <w:r>
        <w:tab/>
      </w:r>
      <w:r>
        <w:t xml:space="preserve">Kits</w:t>
      </w:r>
    </w:p>
    <w:p>
      <w:pPr>
        <w:pStyle w:val="FirstParagraph"/>
      </w:pPr>
      <w:hyperlink r:id="rId59">
        <w:r>
          <w:rPr>
            <w:rStyle w:val="Hyperlink"/>
          </w:rPr>
          <w:t xml:space="preserve">Miniplsmid putification kit</w:t>
        </w:r>
      </w:hyperlink>
      <w:r>
        <w:t xml:space="preserve"> </w:t>
      </w:r>
      <w:r>
        <w:t xml:space="preserve">(Presto™)</w:t>
      </w:r>
    </w:p>
    <w:bookmarkEnd w:id="60"/>
    <w:bookmarkStart w:id="67" w:name="instruments"/>
    <w:p>
      <w:pPr>
        <w:pStyle w:val="Heading3"/>
      </w:pPr>
      <w:r>
        <w:rPr>
          <w:rStyle w:val="SectionNumber"/>
        </w:rPr>
        <w:t xml:space="preserve">3.2.3</w:t>
      </w:r>
      <w:r>
        <w:tab/>
      </w:r>
      <w:r>
        <w:t xml:space="preserve">Instruments</w:t>
      </w:r>
    </w:p>
    <w:p>
      <w:pPr>
        <w:numPr>
          <w:ilvl w:val="0"/>
          <w:numId w:val="1007"/>
        </w:numPr>
        <w:pStyle w:val="Compact"/>
      </w:pPr>
      <w:hyperlink r:id="rId61">
        <w:r>
          <w:rPr>
            <w:rStyle w:val="Hyperlink"/>
          </w:rPr>
          <w:t xml:space="preserve">MicroPulser Electroporator by Bio-Rad</w:t>
        </w:r>
      </w:hyperlink>
    </w:p>
    <w:p>
      <w:pPr>
        <w:numPr>
          <w:ilvl w:val="0"/>
          <w:numId w:val="1007"/>
        </w:numPr>
        <w:pStyle w:val="Compact"/>
      </w:pPr>
      <w:hyperlink r:id="rId62">
        <w:r>
          <w:rPr>
            <w:rStyle w:val="Hyperlink"/>
          </w:rPr>
          <w:t xml:space="preserve">Microcentrifuge</w:t>
        </w:r>
      </w:hyperlink>
      <w:r>
        <w:t xml:space="preserve"> </w:t>
      </w:r>
      <w:r>
        <w:t xml:space="preserve">(Pierce™)</w:t>
      </w:r>
    </w:p>
    <w:p>
      <w:pPr>
        <w:numPr>
          <w:ilvl w:val="0"/>
          <w:numId w:val="1007"/>
        </w:numPr>
        <w:pStyle w:val="Compact"/>
      </w:pPr>
      <w:r>
        <w:t xml:space="preserve">PCR machine</w:t>
      </w:r>
      <w:r>
        <w:t xml:space="preserve"> </w:t>
      </w:r>
      <w:hyperlink r:id="rId63">
        <w:r>
          <w:rPr>
            <w:rStyle w:val="Hyperlink"/>
          </w:rPr>
          <w:t xml:space="preserve">Biometra TRIO</w:t>
        </w:r>
      </w:hyperlink>
    </w:p>
    <w:p>
      <w:pPr>
        <w:numPr>
          <w:ilvl w:val="0"/>
          <w:numId w:val="1007"/>
        </w:numPr>
        <w:pStyle w:val="Compact"/>
      </w:pPr>
      <w:r>
        <w:t xml:space="preserve">Power supply + Electrophoresis bath (</w:t>
      </w:r>
      <w:hyperlink r:id="rId64">
        <w:r>
          <w:rPr>
            <w:rStyle w:val="Hyperlink"/>
          </w:rPr>
          <w:t xml:space="preserve">PowerPac™ Basic Power Supply</w:t>
        </w:r>
      </w:hyperlink>
      <w:r>
        <w:t xml:space="preserve">,</w:t>
      </w:r>
      <w:r>
        <w:t xml:space="preserve"> </w:t>
      </w:r>
      <w:hyperlink r:id="rId65">
        <w:r>
          <w:rPr>
            <w:rStyle w:val="Hyperlink"/>
          </w:rPr>
          <w:t xml:space="preserve">Wide Mini ReadySub-Cell GT Horizontal Electrophoresis System</w:t>
        </w:r>
      </w:hyperlink>
      <w:r>
        <w:t xml:space="preserve">)</w:t>
      </w:r>
    </w:p>
    <w:p>
      <w:pPr>
        <w:numPr>
          <w:ilvl w:val="0"/>
          <w:numId w:val="1007"/>
        </w:numPr>
        <w:pStyle w:val="Compact"/>
      </w:pPr>
      <w:r>
        <w:t xml:space="preserve">UV-light table</w:t>
      </w:r>
      <w:r>
        <w:t xml:space="preserve"> </w:t>
      </w:r>
      <w:hyperlink r:id="rId66">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7"/>
    <w:bookmarkEnd w:id="68"/>
    <w:bookmarkStart w:id="72" w:name="protocols"/>
    <w:p>
      <w:pPr>
        <w:pStyle w:val="Heading2"/>
      </w:pPr>
      <w:r>
        <w:rPr>
          <w:rStyle w:val="SectionNumber"/>
        </w:rPr>
        <w:t xml:space="preserve">3.3</w:t>
      </w:r>
      <w:r>
        <w:tab/>
      </w:r>
      <w:r>
        <w:t xml:space="preserve">Protocols</w:t>
      </w:r>
    </w:p>
    <w:p>
      <w:pPr>
        <w:numPr>
          <w:ilvl w:val="0"/>
          <w:numId w:val="1008"/>
        </w:numPr>
      </w:pPr>
      <w:hyperlink r:id="rId69">
        <w:r>
          <w:rPr>
            <w:rStyle w:val="Hyperlink"/>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This has proven to be an efficient and effective method for the assembly of plasmids, and molecular biologists now use this method extensively.</w:t>
      </w:r>
    </w:p>
    <w:p>
      <w:pPr>
        <w:numPr>
          <w:ilvl w:val="0"/>
          <w:numId w:val="1008"/>
        </w:numPr>
      </w:pPr>
      <w:hyperlink r:id="rId70">
        <w:r>
          <w:rPr>
            <w:rStyle w:val="Hyperlink"/>
          </w:rPr>
          <w:t xml:space="preserve">Golden-Gate cloning</w:t>
        </w:r>
      </w:hyperlink>
      <w:r>
        <w:t xml:space="preserve">(Čermák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w:t>
      </w:r>
    </w:p>
    <w:p>
      <w:pPr>
        <w:numPr>
          <w:ilvl w:val="0"/>
          <w:numId w:val="1008"/>
        </w:numPr>
      </w:pPr>
      <w:r>
        <w:t xml:space="preserve">Gel agarose for DNA electrophoresis</w:t>
      </w:r>
      <w:r>
        <w:t xml:space="preserve">(Lee et al. 2012)</w:t>
      </w:r>
      <w:r>
        <w:t xml:space="preserve">: Agarose gel electrophoresis is the most effective way of separating DNA fragments of varying sizes ranging from 100 bp to 25 kb. During gelation, agarose polymers associate non-covalently and form a network of bundles whose pore sizes determine a gel’s molecular sieving properties. To separate DNA using agarose gel electrophoresis, the DNA is loaded into pre-cast wells in the gel and a current applied. The phosphate backbone of the DNA (and RNA) molecule is negatively charged, therefore when placed in an electric field, DNA fragments will migrate to the positively charged anode. Because DNA has a uniform mass/charge ratio, DNA molecules are separated by size within an agarose gel in a pattern such that the distance traveled is inversely proportional to the log of its molecular weight.</w:t>
      </w:r>
    </w:p>
    <w:p>
      <w:pPr>
        <w:numPr>
          <w:ilvl w:val="0"/>
          <w:numId w:val="1008"/>
        </w:numPr>
      </w:pPr>
      <w:r>
        <w:t xml:space="preserve">E.coli Heat-shock competent preperation and</w:t>
      </w:r>
      <w:r>
        <w:t xml:space="preserve"> </w:t>
      </w:r>
      <w:hyperlink r:id="rId71">
        <w:r>
          <w:rPr>
            <w:rStyle w:val="Hyperlink"/>
          </w:rPr>
          <w:t xml:space="preserve">transformation</w:t>
        </w:r>
      </w:hyperlink>
      <w:r>
        <w:t xml:space="preserve">(Chang et al. 2017)</w:t>
      </w:r>
      <w:r>
        <w:t xml:space="preserve">: Calcium chloride heat-shock transformation is a powerful molecular biology technique used to introduce foreign DNA into a host cell. The concept of the technique is to encourages bacterial cells to uptake DNA from the surrounding environment when stressed by heat shock by using CaCl2 to render them more competent. This technique allow for introduction of plasmid for bacterial transformation.</w:t>
      </w:r>
    </w:p>
    <w:p>
      <w:pPr>
        <w:numPr>
          <w:ilvl w:val="0"/>
          <w:numId w:val="1008"/>
        </w:numPr>
      </w:pPr>
      <w:r>
        <w:t xml:space="preserve">CTAB protocol for the isolating of DNA from plant tissues</w:t>
      </w:r>
      <w:r>
        <w:t xml:space="preserve">(Porebski et al. 1997)</w:t>
      </w:r>
      <w:r>
        <w:t xml:space="preserve">: A relatively quick, inexpensive and consistent protocol for extraction of DNA from plant tissues. CTAB extraction, employing high salt concentrations to remove polysaccharides, the use of polyvinyl pyrrolidone (PVP) to remove polyphenols, an extended RNase treatment and a phenol-chloroform extraction.</w:t>
      </w:r>
    </w:p>
    <w:p>
      <w:pPr>
        <w:numPr>
          <w:ilvl w:val="0"/>
          <w:numId w:val="1008"/>
        </w:numPr>
      </w:pPr>
      <w:r>
        <w:t xml:space="preserve">TRI reagent® protocol for the isolation of RNA, DNA or proteins</w:t>
      </w:r>
      <w:r>
        <w:t xml:space="preserve">(Chomczynski 1993)</w:t>
      </w:r>
      <w:r>
        <w:t xml:space="preserve">: method for simultaneous isolation of RNA, DNA and proteins from cell and tissue samples.</w:t>
      </w:r>
    </w:p>
    <w:bookmarkEnd w:id="72"/>
    <w:bookmarkEnd w:id="73"/>
    <w:bookmarkStart w:id="108" w:name="experimants-scheme"/>
    <w:p>
      <w:pPr>
        <w:pStyle w:val="Heading1"/>
      </w:pPr>
      <w:r>
        <w:rPr>
          <w:rStyle w:val="SectionNumber"/>
        </w:rPr>
        <w:t xml:space="preserve">4</w:t>
      </w:r>
      <w:r>
        <w:tab/>
      </w:r>
      <w:r>
        <w:t xml:space="preserve">Experimants scheme</w:t>
      </w:r>
    </w:p>
    <w:p>
      <w:pPr>
        <w:pStyle w:val="FirstParagraph"/>
      </w:pPr>
      <w:r>
        <w:t xml:space="preserve">Experimants scheme as it was planned for the achievment of the milestones and to test the hypotheses.</w:t>
      </w:r>
    </w:p>
    <w:p>
      <w:pPr>
        <w:pStyle w:val="BodyText"/>
      </w:pPr>
      <w:r>
        <w:drawing>
          <wp:inline>
            <wp:extent cx="5334000" cy="3314112"/>
            <wp:effectExtent b="0" l="0" r="0" t="0"/>
            <wp:docPr descr="VIGE experimants scheme" title="" id="75" name="Picture"/>
            <a:graphic>
              <a:graphicData uri="http://schemas.openxmlformats.org/drawingml/2006/picture">
                <pic:pic>
                  <pic:nvPicPr>
                    <pic:cNvPr descr="VIGE_FlowChart.png" id="76" name="Picture"/>
                    <pic:cNvPicPr>
                      <a:picLocks noChangeArrowheads="1" noChangeAspect="1"/>
                    </pic:cNvPicPr>
                  </pic:nvPicPr>
                  <pic:blipFill>
                    <a:blip r:embed="rId74"/>
                    <a:stretch>
                      <a:fillRect/>
                    </a:stretch>
                  </pic:blipFill>
                  <pic:spPr bwMode="auto">
                    <a:xfrm>
                      <a:off x="0" y="0"/>
                      <a:ext cx="5334000" cy="3314112"/>
                    </a:xfrm>
                    <a:prstGeom prst="rect">
                      <a:avLst/>
                    </a:prstGeom>
                    <a:noFill/>
                    <a:ln w="9525">
                      <a:noFill/>
                      <a:headEnd/>
                      <a:tailEnd/>
                    </a:ln>
                  </pic:spPr>
                </pic:pic>
              </a:graphicData>
            </a:graphic>
          </wp:inline>
        </w:drawing>
      </w:r>
      <w:r>
        <w:t xml:space="preserve"> </w:t>
      </w:r>
      <w:r>
        <w:drawing>
          <wp:inline>
            <wp:extent cx="5334000" cy="3833326"/>
            <wp:effectExtent b="0" l="0" r="0" t="0"/>
            <wp:docPr descr="De-novo meristem induction experimants scheme" title="" id="78" name="Picture"/>
            <a:graphic>
              <a:graphicData uri="http://schemas.openxmlformats.org/drawingml/2006/picture">
                <pic:pic>
                  <pic:nvPicPr>
                    <pic:cNvPr descr="De-novo_meristem_induction_FlowChart.png" id="79" name="Picture"/>
                    <pic:cNvPicPr>
                      <a:picLocks noChangeArrowheads="1" noChangeAspect="1"/>
                    </pic:cNvPicPr>
                  </pic:nvPicPr>
                  <pic:blipFill>
                    <a:blip r:embed="rId77"/>
                    <a:stretch>
                      <a:fillRect/>
                    </a:stretch>
                  </pic:blipFill>
                  <pic:spPr bwMode="auto">
                    <a:xfrm>
                      <a:off x="0" y="0"/>
                      <a:ext cx="5334000" cy="3833326"/>
                    </a:xfrm>
                    <a:prstGeom prst="rect">
                      <a:avLst/>
                    </a:prstGeom>
                    <a:noFill/>
                    <a:ln w="9525">
                      <a:noFill/>
                      <a:headEnd/>
                      <a:tailEnd/>
                    </a:ln>
                  </pic:spPr>
                </pic:pic>
              </a:graphicData>
            </a:graphic>
          </wp:inline>
        </w:drawing>
      </w:r>
    </w:p>
    <w:bookmarkStart w:id="84" w:name="implementing-vige-in-trees"/>
    <w:p>
      <w:pPr>
        <w:pStyle w:val="Heading2"/>
      </w:pPr>
      <w:r>
        <w:rPr>
          <w:rStyle w:val="SectionNumber"/>
        </w:rPr>
        <w:t xml:space="preserve">4.1</w:t>
      </w:r>
      <w:r>
        <w:tab/>
      </w:r>
      <w:r>
        <w:t xml:space="preserve">Implementing VIGE in trees</w:t>
      </w:r>
    </w:p>
    <w:bookmarkStart w:id="80" w:name="generating-cas9-oe-poplar-plant"/>
    <w:p>
      <w:pPr>
        <w:pStyle w:val="Heading3"/>
      </w:pPr>
      <w:r>
        <w:rPr>
          <w:rStyle w:val="SectionNumber"/>
        </w:rPr>
        <w:t xml:space="preserve">4.1.1</w:t>
      </w:r>
      <w:r>
        <w:tab/>
      </w: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are grown in LB liquid-medium containing 50 mg/L Spectinomycin, at 200rpm over-night at</w:t>
      </w:r>
      <w:r>
        <w:t xml:space="preserve"> </w:t>
      </w:r>
      <m:oMath>
        <m:sSup>
          <m:e>
            <m:r>
              <m:t>37</m:t>
            </m:r>
          </m:e>
          <m:sup>
            <m:r>
              <m:t>o</m:t>
            </m:r>
          </m:sup>
        </m:sSup>
        <m:r>
          <m:t>C</m:t>
        </m:r>
      </m:oMath>
      <w:r>
        <w:t xml:space="preserve">. The following day the plasmids are extracted using miniplsmid putification kit. Then the plasmid are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is picked to LB liquid-medium containing 50 mg/L Spectinomycin and 50 mg/L Gentamicin and incubated with shaking 200rpm over-night at</w:t>
      </w:r>
      <w:r>
        <w:t xml:space="preserve"> </w:t>
      </w:r>
      <m:oMath>
        <m:sSup>
          <m:e>
            <m:r>
              <m:t>28</m:t>
            </m:r>
          </m:e>
          <m:sup>
            <m:r>
              <m:t>o</m:t>
            </m:r>
          </m:sup>
        </m:sSup>
        <m:r>
          <m:t>C</m:t>
        </m:r>
      </m:oMath>
      <w:r>
        <w:t xml:space="preserve">. The cells are then harvested by centrifuge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are prepared from 3-week-old plantlets that were cut perpendicular to main veins and layed on M1 for 2 days. Next the cut leaves are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are washed X2 in sterilized distilled water for 5 min, blotted with sterile filter paper to remove the excess water and transferred to M3 for 10 days. After 4 weeks 1 to 2 cm shoots are cut off and transferred to M4 For obtaining plants. The transgenic poplar plants were transferred to M1 for 3 weeks to avoid agrobacterium contamination.</w:t>
      </w:r>
    </w:p>
    <w:bookmarkEnd w:id="80"/>
    <w:bookmarkStart w:id="81" w:name="X7fd3faa5530e00ea49951ba6858f4c2bc5aa599"/>
    <w:p>
      <w:pPr>
        <w:pStyle w:val="Heading3"/>
      </w:pPr>
      <w:r>
        <w:rPr>
          <w:rStyle w:val="SectionNumber"/>
        </w:rPr>
        <w:t xml:space="preserve">4.1.2</w:t>
      </w:r>
      <w:r>
        <w:tab/>
      </w: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09"/>
        </w:numPr>
        <w:pStyle w:val="Compact"/>
      </w:pPr>
      <w:r>
        <w:t xml:space="preserve">Cunstraction of plasmids containing virus genome segments.</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 cloned with sgRNA via ligation independent cloning (LIC). GV-3101 agrobacterium is transformed using electropuration and grown on petri-plate containing LB-agar medium containing 50 mg/L kanamycin and 10 mg/L Gentamicin, at</w:t>
      </w:r>
      <w:r>
        <w:t xml:space="preserve"> </w:t>
      </w:r>
      <m:oMath>
        <m:sSup>
          <m:e>
            <m:r>
              <m:t>28</m:t>
            </m:r>
          </m:e>
          <m:sup>
            <m:r>
              <m:t>o</m:t>
            </m:r>
          </m:sup>
        </m:sSup>
        <m:r>
          <m:t>C</m:t>
        </m:r>
      </m:oMath>
      <w:r>
        <w:t xml:space="preserve"> </w:t>
      </w:r>
      <w:r>
        <w:t xml:space="preserve">for two days. A single colony is picked to LB liquid-medium containing 50 mg/L kanamycin and 10 mg/L Gentamicin, and incubated with shaking 200rpm over-night at</w:t>
      </w:r>
      <w:r>
        <w:t xml:space="preserve"> </w:t>
      </w:r>
      <m:oMath>
        <m:sSup>
          <m:e>
            <m:r>
              <m:t>28</m:t>
            </m:r>
          </m:e>
          <m:sup>
            <m:r>
              <m:t>o</m:t>
            </m:r>
          </m:sup>
        </m:sSup>
        <m:r>
          <m:t>C</m:t>
        </m:r>
      </m:oMath>
      <w:r>
        <w:t xml:space="preserve">. Cells are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are cloned into</w:t>
      </w:r>
      <w:r>
        <w:t xml:space="preserve"> </w:t>
      </w:r>
      <m:oMath>
        <m:r>
          <m:t>p</m:t>
        </m:r>
        <m:r>
          <m:t>P</m:t>
        </m:r>
        <m:r>
          <m:t>E</m:t>
        </m:r>
        <m:r>
          <m:t>B</m:t>
        </m:r>
        <m:r>
          <m:t>V</m:t>
        </m:r>
        <m:r>
          <m:rPr>
            <m:sty m:val="p"/>
          </m:rPr>
          <m:t>−</m:t>
        </m:r>
        <m:r>
          <m:t>T</m:t>
        </m:r>
        <m:r>
          <m:t>R</m:t>
        </m:r>
        <m:sSub>
          <m:e>
            <m:r>
              <m:t>V</m:t>
            </m:r>
          </m:e>
          <m:sub>
            <m:r>
              <m:t>2</m:t>
            </m:r>
          </m:sub>
        </m:sSub>
      </m:oMath>
      <w:r>
        <w:t xml:space="preserve">. The mobile RNA sequence is Isoleucine-tRNA.</w:t>
      </w:r>
    </w:p>
    <w:bookmarkEnd w:id="81"/>
    <w:bookmarkStart w:id="82" w:name="Xb77c3fd7a3c2f95952421b683939015e6ce98f2"/>
    <w:p>
      <w:pPr>
        <w:pStyle w:val="Heading3"/>
      </w:pPr>
      <w:r>
        <w:rPr>
          <w:rStyle w:val="SectionNumber"/>
        </w:rPr>
        <w:t xml:space="preserve">4.1.3</w:t>
      </w:r>
      <w:r>
        <w:tab/>
      </w:r>
      <w:r>
        <w:t xml:space="preserve">Infecting Cas9-OE</w:t>
      </w:r>
      <w:r>
        <w:t xml:space="preserve"> </w:t>
      </w:r>
      <w:r>
        <w:rPr>
          <w:iCs/>
          <w:i/>
        </w:rPr>
        <w:t xml:space="preserve">Nicotiana Benthamiana</w:t>
      </w:r>
      <w:r>
        <w:t xml:space="preserve"> </w:t>
      </w:r>
      <w:r>
        <w:t xml:space="preserve">with GM-vector</w:t>
      </w:r>
    </w:p>
    <w:p>
      <w:pPr>
        <w:pStyle w:val="FirstParagraph"/>
      </w:pPr>
      <w:r>
        <w:t xml:space="preserve">Cas9-OE</w:t>
      </w:r>
      <w:r>
        <w:t xml:space="preserve"> </w:t>
      </w:r>
      <w:r>
        <w:rPr>
          <w:iCs/>
          <w:i/>
        </w:rPr>
        <w:t xml:space="preserve">Nicotiana Benthamiana</w:t>
      </w:r>
      <w:r>
        <w:t xml:space="preserve"> </w:t>
      </w:r>
      <w:r>
        <w:t xml:space="preserve">is infected with GM-vector as a Preliminary experiment, for examination of the GM-vector. Bacteria is infiltrated into</w:t>
      </w:r>
      <w:r>
        <w:t xml:space="preserve"> </w:t>
      </w:r>
      <w:r>
        <w:rPr>
          <w:iCs/>
          <w:i/>
        </w:rPr>
        <w:t xml:space="preserve">Nicotiana Benthamiana</w:t>
      </w:r>
      <w:r>
        <w:t xml:space="preserve"> </w:t>
      </w:r>
      <w:r>
        <w:t xml:space="preserve">leaves by 1 mL plastic syringe (without needle), dry in the light (1 hour) and keep in the dark for 24 hours, in</w:t>
      </w:r>
      <w:r>
        <w:t xml:space="preserve"> </w:t>
      </w:r>
      <m:oMath>
        <m:r>
          <m:t>23</m:t>
        </m:r>
        <m:r>
          <m:rPr>
            <m:sty m:val="p"/>
          </m:rPr>
          <m:t>−</m:t>
        </m:r>
        <m:sSup>
          <m:e>
            <m:r>
              <m:t>25</m:t>
            </m:r>
          </m:e>
          <m:sup>
            <m:r>
              <m:t>o</m:t>
            </m:r>
          </m:sup>
        </m:sSup>
        <m:r>
          <m:t>C</m:t>
        </m:r>
      </m:oMath>
      <w:r>
        <w:t xml:space="preserve">. The plants are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are collected and RNA is isolated using TRI reagent protocol. The RNA was than reverse transcribe to cDNA. A section of the vector was</w:t>
      </w:r>
      <w:r>
        <w:t xml:space="preserve"> </w:t>
      </w:r>
      <w:r>
        <w:t xml:space="preserve">Amplified in PCR (Gradient thermal cycler by VWR) for propagation examination. Wild-Type</w:t>
      </w:r>
      <w:r>
        <w:t xml:space="preserve"> </w:t>
      </w:r>
      <w:r>
        <w:rPr>
          <w:iCs/>
          <w:i/>
        </w:rPr>
        <w:t xml:space="preserve">Nicotiana Benthamiana</w:t>
      </w:r>
      <w:r>
        <w:t xml:space="preserve"> </w:t>
      </w:r>
      <w:r>
        <w:t xml:space="preserve">was also infected with GM-vector as a propagation factory, to generate GM-vector from T-DNA, in the same manner.</w:t>
      </w:r>
    </w:p>
    <w:bookmarkEnd w:id="82"/>
    <w:bookmarkStart w:id="83" w:name="X53310389cfa56686753c0a042ac3dd0c6206cd1"/>
    <w:p>
      <w:pPr>
        <w:pStyle w:val="Heading3"/>
      </w:pPr>
      <w:r>
        <w:rPr>
          <w:rStyle w:val="SectionNumber"/>
        </w:rPr>
        <w:t xml:space="preserve">4.1.4</w:t>
      </w:r>
      <w:r>
        <w:tab/>
      </w:r>
      <w:r>
        <w:t xml:space="preserve">Infecting Cas9-OE poplar and Cas9-OE apples with GM-vector</w:t>
      </w:r>
    </w:p>
    <w:p>
      <w:pPr>
        <w:pStyle w:val="FirstParagraph"/>
      </w:pPr>
      <w:r>
        <w:t xml:space="preserve">Infiltrated leaves from positive plants are collected and immediately transferred to liquid nitrogen. The tissue is grounded to a fine powder and suspended in phosphate buffer (0.1 M, pH 7.5) solution (3 mL per gram of tissue-powder). Sea-sand is added to induce micro-cuts to the leaves. The given liquid is rubbed on the leaves of young Cas9-OE plants to induce viral infection.</w:t>
      </w:r>
    </w:p>
    <w:bookmarkEnd w:id="83"/>
    <w:bookmarkEnd w:id="84"/>
    <w:bookmarkStart w:id="107" w:name="X1ed45fcb9ad224d1ba0d5dcf9b3faae8483083f"/>
    <w:p>
      <w:pPr>
        <w:pStyle w:val="Heading2"/>
      </w:pPr>
      <w:r>
        <w:rPr>
          <w:rStyle w:val="SectionNumber"/>
        </w:rPr>
        <w:t xml:space="preserve">4.2</w:t>
      </w:r>
      <w:r>
        <w:tab/>
      </w:r>
      <w:r>
        <w:t xml:space="preserve">Implementing De-novo meristem induction and transformation.</w:t>
      </w:r>
    </w:p>
    <w:bookmarkStart w:id="87" w:name="X2bbd8e2510ee6db2ea3d517fa7db8b14e8e24a1"/>
    <w:p>
      <w:pPr>
        <w:pStyle w:val="Heading3"/>
      </w:pPr>
      <w:r>
        <w:rPr>
          <w:rStyle w:val="SectionNumber"/>
        </w:rPr>
        <w:t xml:space="preserve">4.2.1</w:t>
      </w:r>
      <w:r>
        <w:tab/>
      </w:r>
      <w:r>
        <w:t xml:space="preserve">Construction of plasmids containing DRs, Cas9 and sgRNAs</w:t>
      </w:r>
    </w:p>
    <w:p>
      <w:pPr>
        <w:pStyle w:val="FirstParagraph"/>
      </w:pPr>
      <w:r>
        <w:t xml:space="preserve">Constructing plasmids with combinations of DRs for de-novo maristem induction for novel transformation protocol.</w:t>
      </w:r>
    </w:p>
    <w:p>
      <w:pPr>
        <w:pStyle w:val="BodyText"/>
      </w:pPr>
      <w:r>
        <w:t xml:space="preserve">All the plasmid building blocks for the final vectors are bought from</w:t>
      </w:r>
      <w:r>
        <w:t xml:space="preserve"> </w:t>
      </w:r>
      <w:hyperlink r:id="rId85">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was assembled in-house.</w:t>
      </w:r>
    </w:p>
    <w:p>
      <w:pPr>
        <w:numPr>
          <w:ilvl w:val="0"/>
          <w:numId w:val="1010"/>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were synthesized into pUC57 plasmid as a service from</w:t>
      </w:r>
      <w:r>
        <w:t xml:space="preserve"> </w:t>
      </w:r>
      <w:hyperlink r:id="rId86">
        <w:r>
          <w:rPr>
            <w:rStyle w:val="Hyperlink"/>
          </w:rPr>
          <w:t xml:space="preserve">GenScript</w:t>
        </w:r>
      </w:hyperlink>
      <w:r>
        <w:t xml:space="preserve">(New Jersey, USA) and were assembled into pMOD-C backbone using</w:t>
      </w:r>
      <w:r>
        <w:t xml:space="preserve"> </w:t>
      </w:r>
      <w:hyperlink r:id="rId69">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were constructed into pTRANS backbone using</w:t>
      </w:r>
      <w:r>
        <w:t xml:space="preserve"> </w:t>
      </w:r>
      <w:hyperlink r:id="rId70">
        <w:r>
          <w:rPr>
            <w:rStyle w:val="Hyperlink"/>
          </w:rPr>
          <w:t xml:space="preserve">Golden-Gate cloning</w:t>
        </w:r>
      </w:hyperlink>
      <w:r>
        <w:t xml:space="preserve">(Čermák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1">
        <w:r>
          <w:rPr>
            <w:rStyle w:val="Hyperlink"/>
          </w:rPr>
          <w:t xml:space="preserve">heat-shock transformation</w:t>
        </w:r>
      </w:hyperlink>
      <w:r>
        <w:t xml:space="preserve"> </w:t>
      </w:r>
      <w:r>
        <w:t xml:space="preserve">and growing on petri-dish containing Lysogeny broth medium with 1.1 % Agar 50 mg/L Ampicillin, at</w:t>
      </w:r>
      <w:r>
        <w:t xml:space="preserve"> </w:t>
      </w:r>
      <m:oMath>
        <m:sSup>
          <m:e>
            <m:r>
              <m:t>37</m:t>
            </m:r>
          </m:e>
          <m:sup>
            <m:r>
              <m:t>o</m:t>
            </m:r>
          </m:sup>
        </m:sSup>
        <m:r>
          <m:t>C</m:t>
        </m:r>
      </m:oMath>
      <w:r>
        <w:t xml:space="preserve"> </w:t>
      </w:r>
      <w:r>
        <w:t xml:space="preserve">over-night. Evaluating constructs using colony PCR (Polymerase chain reaction) reaction (Table</w:t>
      </w:r>
      <w:r>
        <w:t xml:space="preserve"> </w:t>
      </w:r>
      <w:r>
        <w:t xml:space="preserve">). Growing positive colonies in LB liquid-medium (containing 50 mg/L Ampicillin), shaking 200 rpm over-night at</w:t>
      </w:r>
      <w:r>
        <w:t xml:space="preserve"> </w:t>
      </w:r>
      <m:oMath>
        <m:sSup>
          <m:e>
            <m:r>
              <m:t>37</m:t>
            </m:r>
          </m:e>
          <m:sup>
            <m:r>
              <m:t>o</m:t>
            </m:r>
          </m:sup>
        </m:sSup>
        <m:r>
          <m:t>C</m:t>
        </m:r>
      </m:oMath>
      <w:r>
        <w:t xml:space="preserve">. Purifying constructs using miniplsmid putification kit.</w:t>
      </w:r>
    </w:p>
    <w:p>
      <w:pPr>
        <w:pStyle w:val="BodyText"/>
      </w:pPr>
      <w:r>
        <w:t xml:space="preserve">Transformation of EHA-105 agrobacterium using electroporation MicroPulser Electroporator and growing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are validated again using colony PCR.</w:t>
      </w:r>
    </w:p>
    <w:p>
      <w:pPr>
        <w:pStyle w:val="BodyText"/>
      </w:pPr>
      <w:r>
        <w:t xml:space="preserve">Cultures of each positive EHA-105 agrobacterium are spread on new petri-dish containing LB-agar medium with 50 mg/L Ampicillin and 50 mg/L Rifampicin at</w:t>
      </w:r>
      <w:r>
        <w:t xml:space="preserve"> </w:t>
      </w:r>
      <m:oMath>
        <m:sSup>
          <m:e>
            <m:r>
              <m:t>28</m:t>
            </m:r>
          </m:e>
          <m:sup>
            <m:r>
              <m:t>o</m:t>
            </m:r>
          </m:sup>
        </m:sSup>
        <m:r>
          <m:t>C</m:t>
        </m:r>
      </m:oMath>
      <w:r>
        <w:t xml:space="preserve"> </w:t>
      </w:r>
      <w:r>
        <w:t xml:space="preserve">for 4 days. At the day of plant transformation, the whole plate is picked using Drigalski spatula and transferred to 2 ml Microcentrifuge with a tip. The transferred colonies are weighed and elut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7"/>
    <w:bookmarkStart w:id="91" w:name="infection-methods-experiment"/>
    <w:p>
      <w:pPr>
        <w:pStyle w:val="Heading3"/>
      </w:pPr>
      <w:r>
        <w:rPr>
          <w:rStyle w:val="SectionNumber"/>
        </w:rPr>
        <w:t xml:space="preserve">4.2.2</w:t>
      </w:r>
      <w:r>
        <w:tab/>
      </w:r>
      <w:r>
        <w:t xml:space="preserve">Infection methods experiment</w:t>
      </w:r>
    </w:p>
    <w:p>
      <w:pPr>
        <w:pStyle w:val="FirstParagraph"/>
      </w:pPr>
      <w:r>
        <w:t xml:space="preserve">The first experiment is designed for the assessment of different infection methods on the agro-infection effectiveness.</w:t>
      </w:r>
      <w:r>
        <w:t xml:space="preserve"> </w:t>
      </w:r>
      <w:r>
        <w:t xml:space="preserve">Seeds are extracted from apple of the variety Pink-lady, that have been refrigerated for few months. The seeds are then grown in a germination tray (11X17 cells) for 1 month.</w:t>
      </w:r>
    </w:p>
    <w:p>
      <w:pPr>
        <w:pStyle w:val="BodyText"/>
      </w:pPr>
      <w:r>
        <w:t xml:space="preserve">Three methods of Agro-infection was tested on the plants. The first is agro-infiltration to the leaves through pressure with needleless syringe. The second is micro-stabs of concentrated bacteria culture into the leaf vains. The last is vertical cut of the stem as far as possible from the nearest axillary bud below and injection of concentrated bacteria culture into the cut (Figure</w:t>
      </w:r>
      <w:r>
        <w:t xml:space="preserve"> </w:t>
      </w:r>
      <w:r>
        <w:t xml:space="preserve">). Each infection method got repetitions with each construct as follows: first 4, second 3, third 1.</w:t>
      </w:r>
    </w:p>
    <w:p>
      <w:pPr>
        <w:pStyle w:val="CaptionedFigure"/>
      </w:pPr>
      <w:r>
        <w:drawing>
          <wp:inline>
            <wp:extent cx="5334000" cy="1792284"/>
            <wp:effectExtent b="0" l="0" r="0" t="0"/>
            <wp:docPr descr="Infection of Apples with A.tumefaciens, three methods.   agro-infiltration to the leaves  micro-stabs to the leaf vains  injection to the stem cut" title="" id="89" name="Picture"/>
            <a:graphic>
              <a:graphicData uri="http://schemas.openxmlformats.org/drawingml/2006/picture">
                <pic:pic>
                  <pic:nvPicPr>
                    <pic:cNvPr descr="apple_injection3.png" id="90" name="Picture"/>
                    <pic:cNvPicPr>
                      <a:picLocks noChangeArrowheads="1" noChangeAspect="1"/>
                    </pic:cNvPicPr>
                  </pic:nvPicPr>
                  <pic:blipFill>
                    <a:blip r:embed="rId88"/>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Apples with A.tumefaciens, three methods.</w:t>
      </w:r>
      <w:r>
        <w:t xml:space="preserve"> </w:t>
      </w:r>
      <w:r>
        <w:t xml:space="preserve"> </w:t>
      </w:r>
      <w:r>
        <w:t xml:space="preserve"> </w:t>
      </w:r>
      <w:r>
        <w:t xml:space="preserve">agro-infiltration to the leaves</w:t>
      </w:r>
      <w:r>
        <w:t xml:space="preserve"> </w:t>
      </w:r>
      <w:r>
        <w:t xml:space="preserve"> </w:t>
      </w:r>
      <w:r>
        <w:t xml:space="preserve">micro-stabs to the leaf vains</w:t>
      </w:r>
      <w:r>
        <w:t xml:space="preserve"> </w:t>
      </w:r>
      <w:r>
        <w:t xml:space="preserve"> </w:t>
      </w:r>
      <w:r>
        <w:t xml:space="preserve">injection to the stem cut</w:t>
      </w:r>
    </w:p>
    <w:bookmarkEnd w:id="91"/>
    <w:bookmarkStart w:id="96" w:name="drs-experiment"/>
    <w:p>
      <w:pPr>
        <w:pStyle w:val="Heading3"/>
      </w:pPr>
      <w:r>
        <w:rPr>
          <w:rStyle w:val="SectionNumber"/>
        </w:rPr>
        <w:t xml:space="preserve">4.2.3</w:t>
      </w:r>
      <w:r>
        <w:tab/>
      </w:r>
      <w:r>
        <w:t xml:space="preserve">DRs experiment</w:t>
      </w:r>
    </w:p>
    <w:p>
      <w:pPr>
        <w:pStyle w:val="FirstParagraph"/>
      </w:pPr>
      <w:r>
        <w:t xml:space="preserve">The second experiment is designed for the assessment of different DRs on the de-novo shoot induction influence.</w:t>
      </w:r>
      <w:r>
        <w:t xml:space="preserve"> </w:t>
      </w:r>
      <w:r>
        <w:t xml:space="preserve">Seeds are extracted from 4 varieties of apples that have been refrigerated for few months (Pink Lady, Granny Smith, Starking, Golden Delicious). The seeds are then grown in a germination tray (11X17 cells) for 1 month.</w:t>
      </w:r>
    </w:p>
    <w:p>
      <w:pPr>
        <w:pStyle w:val="BodyText"/>
      </w:pPr>
      <w:r>
        <w:t xml:space="preserve">All plant are infected as described in method C (Figure</w:t>
      </w:r>
      <w:r>
        <w:t xml:space="preserve"> </w:t>
      </w:r>
      <w:r>
        <w:t xml:space="preserve">). After injection, all stem cuts are covered with PARAFILM for 1 week. New shoots that grow from axillary buds are removed once a week.</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93" name="Picture"/>
            <a:graphic>
              <a:graphicData uri="http://schemas.openxmlformats.org/drawingml/2006/picture">
                <pic:pic>
                  <pic:nvPicPr>
                    <pic:cNvPr descr="apple_injection2.png" id="94" name="Picture"/>
                    <pic:cNvPicPr>
                      <a:picLocks noChangeArrowheads="1" noChangeAspect="1"/>
                    </pic:cNvPicPr>
                  </pic:nvPicPr>
                  <pic:blipFill>
                    <a:blip r:embed="rId92"/>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Every construct have 11 repetitions in each apple variety, 44 overall.</w:t>
      </w:r>
    </w:p>
    <w:p>
      <w:pPr>
        <w:pStyle w:val="BodyText"/>
      </w:pPr>
      <w:r>
        <w:t xml:space="preserve">Validation of cassette integration in the genome by DNA extraction from old leaf in the base of the plant and new leaf in the shoot using CTAB protocol and sequence amplification from the T-DNA cassette that is part of the Cas9 gene using specific primers in PCR reaction. The PCR products are analyzed using agarose gel electrophoresis, and photographed on a UV-light table (Table</w:t>
      </w:r>
      <w:r>
        <w:t xml:space="preserve"> </w:t>
      </w:r>
      <w:r>
        <w:t xml:space="preserve">).</w:t>
      </w:r>
    </w:p>
    <w:p>
      <w:pPr>
        <w:pStyle w:val="BodyText"/>
      </w:pPr>
      <w:r>
        <w:t xml:space="preserve">Validation of mutation in the targeted sequence is achieved by amplification using specific primers in PCR reaction and sanger sequencing as a service from</w:t>
      </w:r>
      <w:r>
        <w:t xml:space="preserve"> </w:t>
      </w:r>
      <w:hyperlink r:id="rId95">
        <w:r>
          <w:rPr>
            <w:rStyle w:val="Hyperlink"/>
          </w:rPr>
          <w:t xml:space="preserve">(Macrogen Europe B.V., Meibergdreef 57 1105 BA, Amsterdam, the Netherlands)</w:t>
        </w:r>
      </w:hyperlink>
      <w:r>
        <w:t xml:space="preserve"> </w:t>
      </w:r>
      <w:r>
        <w:t xml:space="preserve">(Table</w:t>
      </w:r>
      <w:r>
        <w:t xml:space="preserve"> </w:t>
      </w:r>
      <w:r>
        <w:t xml:space="preserve">).</w:t>
      </w:r>
    </w:p>
    <w:bookmarkEnd w:id="96"/>
    <w:bookmarkStart w:id="97" w:name="scale-up-experiment"/>
    <w:p>
      <w:pPr>
        <w:pStyle w:val="Heading3"/>
      </w:pPr>
      <w:r>
        <w:rPr>
          <w:rStyle w:val="SectionNumber"/>
        </w:rPr>
        <w:t xml:space="preserve">4.2.4</w:t>
      </w:r>
      <w:r>
        <w:tab/>
      </w:r>
      <w:r>
        <w:t xml:space="preserve">Scale-up experiment</w:t>
      </w:r>
    </w:p>
    <w:p>
      <w:pPr>
        <w:pStyle w:val="FirstParagraph"/>
      </w:pPr>
      <w:r>
        <w:t xml:space="preserve">The third experiment is designed for the assessment of de-novo shoot induction occurrences influenced by the two most promising DR combinations. Seeds are extracted from apples of the variety Pink-lady and Granny-smith, that have been refrigerated for few months. The seeds are then grown in a small pots (5X5 cm wide and 7 cm high) for 1 month. 800 seeds extracted of 2 varieties are infected with 2 most promising plasmids and 1 without DRs. Third of the plants are infected with the plasmid</w:t>
      </w:r>
      <w:r>
        <w:t xml:space="preserve"> </w:t>
      </w:r>
      <w:r>
        <w:rPr>
          <w:iCs/>
          <w:i/>
        </w:rPr>
        <w:t xml:space="preserve">WOX11</w:t>
      </w:r>
      <w:r>
        <w:t xml:space="preserve">-</w:t>
      </w:r>
      <w:r>
        <w:rPr>
          <w:iCs/>
          <w:i/>
        </w:rPr>
        <w:t xml:space="preserve">STM</w:t>
      </w:r>
      <w:r>
        <w:t xml:space="preserve">, third with</w:t>
      </w:r>
      <w:r>
        <w:t xml:space="preserve"> </w:t>
      </w:r>
      <w:r>
        <w:rPr>
          <w:iCs/>
          <w:i/>
        </w:rPr>
        <w:t xml:space="preserve">WUS2</w:t>
      </w:r>
      <w:r>
        <w:t xml:space="preserve">-</w:t>
      </w:r>
      <w:r>
        <w:rPr>
          <w:iCs/>
          <w:i/>
        </w:rPr>
        <w:t xml:space="preserve">STM</w:t>
      </w:r>
      <w:r>
        <w:t xml:space="preserve"> </w:t>
      </w:r>
      <w:r>
        <w:t xml:space="preserve">and third with Empty-Empty. The plants are then sealed with parafilm and aluminum foil. The aluminum foil are covering for 2 days, and the parafilm for additional week.</w:t>
      </w:r>
    </w:p>
    <w:bookmarkEnd w:id="97"/>
    <w:bookmarkStart w:id="98" w:name="high-humidity-experiment"/>
    <w:p>
      <w:pPr>
        <w:pStyle w:val="Heading3"/>
      </w:pPr>
      <w:r>
        <w:rPr>
          <w:rStyle w:val="SectionNumber"/>
        </w:rPr>
        <w:t xml:space="preserve">4.2.5</w:t>
      </w:r>
      <w:r>
        <w:tab/>
      </w:r>
      <w:r>
        <w:t xml:space="preserve">High humidity experiment</w:t>
      </w:r>
    </w:p>
    <w:p>
      <w:pPr>
        <w:pStyle w:val="FirstParagraph"/>
      </w:pPr>
      <w:r>
        <w:t xml:space="preserve">Another experiment is designed to isolate as much of the variability in soil experiment by growing the seedlings in a semi-sterile and close environment. Than the plants can be infected in the same manner only without covering the infected stem cut.</w:t>
      </w:r>
    </w:p>
    <w:bookmarkEnd w:id="98"/>
    <w:bookmarkStart w:id="99" w:name="poplar-infections"/>
    <w:p>
      <w:pPr>
        <w:pStyle w:val="Heading3"/>
      </w:pPr>
      <w:r>
        <w:rPr>
          <w:rStyle w:val="SectionNumber"/>
        </w:rPr>
        <w:t xml:space="preserve">4.2.6</w:t>
      </w:r>
      <w:r>
        <w:tab/>
      </w:r>
      <w:r>
        <w:t xml:space="preserve">Poplar infections</w:t>
      </w:r>
    </w:p>
    <w:p>
      <w:pPr>
        <w:pStyle w:val="FirstParagraph"/>
      </w:pPr>
      <w:r>
        <w:t xml:space="preserve">Similar experiments were performed on Poplar plants, the main difference was that the plant material was started from vegetative reproduction and not from seeds.</w:t>
      </w:r>
    </w:p>
    <w:p>
      <w:pPr>
        <w:pStyle w:val="BodyText"/>
      </w:pPr>
      <w:r>
        <w:t xml:space="preserve">Another experiment was the infection of poplar ex-plant on sterile growth medium without the use of hormones and antibiotics for selection.</w:t>
      </w:r>
    </w:p>
    <w:bookmarkEnd w:id="99"/>
    <w:bookmarkStart w:id="105" w:name="X358815798165894f31744bebe6b099814928966"/>
    <w:p>
      <w:pPr>
        <w:pStyle w:val="Heading3"/>
      </w:pPr>
      <w:r>
        <w:rPr>
          <w:rStyle w:val="SectionNumber"/>
        </w:rPr>
        <w:t xml:space="preserve">4.2.7</w:t>
      </w:r>
      <w:r>
        <w:tab/>
      </w:r>
      <w:r>
        <w:t xml:space="preserve">Identification of new trascription factors that are development regulators in poplar.</w:t>
      </w:r>
    </w:p>
    <w:p>
      <w:pPr>
        <w:pStyle w:val="FirstParagraph"/>
      </w:pPr>
      <w:r>
        <w:t xml:space="preserve">Tissue specific transcriptomes of the hybrid</w:t>
      </w:r>
      <w:r>
        <w:t xml:space="preserve"> </w:t>
      </w:r>
      <w:r>
        <w:rPr>
          <w:iCs/>
          <w:i/>
        </w:rPr>
        <w:t xml:space="preserve">Populus Alba-Tremula</w:t>
      </w:r>
      <w:r>
        <w:t xml:space="preserve"> </w:t>
      </w:r>
      <w:r>
        <w:t xml:space="preserve">(PopAT) were obtaind from</w:t>
      </w:r>
      <w:r>
        <w:t xml:space="preserve"> </w:t>
      </w:r>
      <w:hyperlink r:id="rId100">
        <w:r>
          <w:rPr>
            <w:rStyle w:val="Hyperlink"/>
          </w:rPr>
          <w:t xml:space="preserve">NCBI’s SRA site</w:t>
        </w:r>
      </w:hyperlink>
      <w:r>
        <w:t xml:space="preserve">. The tissues that were analyzed were shoot-tip, root-tip, bud, callus, xylem, leaf and bark (RNA-seq tissues). The transcripts were analyzed in order to identify new trascription factors that are most representative of specific tissue, and therefor suspected to have a strong role as a development regulators for that specific tissue in poplar. The transcripts were downloaded as an SRR files and was converted to FASTQ using the sratoolkit</w:t>
      </w:r>
      <w:r>
        <w:t xml:space="preserve"> </w:t>
      </w:r>
      <w:hyperlink r:id="rId101">
        <w:r>
          <w:rPr>
            <w:rStyle w:val="Hyperlink"/>
          </w:rPr>
          <w:t xml:space="preserve">(version 2.11.0)</w:t>
        </w:r>
      </w:hyperlink>
      <w:r>
        <w:t xml:space="preserve">. Than the reads were processed using the</w:t>
      </w:r>
      <w:r>
        <w:t xml:space="preserve"> </w:t>
      </w:r>
      <w:hyperlink r:id="rId102">
        <w:r>
          <w:rPr>
            <w:rStyle w:val="Hyperlink"/>
          </w:rPr>
          <w:t xml:space="preserve">FASTP tool</w:t>
        </w:r>
      </w:hyperlink>
      <w:r>
        <w:t xml:space="preserve">. After processing, the reads from each tissue were aligned to a reference trascriptome from</w:t>
      </w:r>
      <w:r>
        <w:t xml:space="preserve"> </w:t>
      </w:r>
      <w:r>
        <w:rPr>
          <w:iCs/>
          <w:i/>
        </w:rPr>
        <w:t xml:space="preserve">Populus trichocarpa</w:t>
      </w:r>
      <w:r>
        <w:t xml:space="preserve"> </w:t>
      </w:r>
      <w:r>
        <w:t xml:space="preserve">(PopTri) from</w:t>
      </w:r>
      <w:r>
        <w:t xml:space="preserve"> </w:t>
      </w:r>
      <w:hyperlink r:id="rId103">
        <w:r>
          <w:rPr>
            <w:rStyle w:val="Hyperlink"/>
          </w:rPr>
          <w:t xml:space="preserve">NCBI’s Datasets site</w:t>
        </w:r>
      </w:hyperlink>
      <w:r>
        <w:t xml:space="preserve"> </w:t>
      </w:r>
      <w:r>
        <w:t xml:space="preserve">using Burrows-Wheeler Aligner (BWA, version 0.7.1), and was outputted as a SAM file. The alignment files were analyzed further in order to extract the frequency of each transcript occurrences per tissue. The mathematical way we chose to calculate the a score for the representativeness of transcript to a specific tissue was to divide his frequency in the tissue in question against the frequency in each tissue and then look only on the genes that were at least 1 order of magnitude grater in the tissue in question in comparison to all other tissues. Then we sort by the sum of all ratios.</w:t>
      </w:r>
    </w:p>
    <w:p>
      <w:pPr>
        <w:pStyle w:val="BodyText"/>
      </w:pPr>
      <w:r>
        <w:t xml:space="preserve">All the analysis code is available on GitHub in</w:t>
      </w:r>
      <w:r>
        <w:t xml:space="preserve"> </w:t>
      </w:r>
      <w:hyperlink r:id="rId104">
        <w:r>
          <w:rPr>
            <w:rStyle w:val="Hyperlink"/>
          </w:rPr>
          <w:t xml:space="preserve">https://github.com/BenSiv/PopAT-expression-analysis</w:t>
        </w:r>
      </w:hyperlink>
      <w:r>
        <w:t xml:space="preserve">.</w:t>
      </w:r>
    </w:p>
    <w:bookmarkEnd w:id="105"/>
    <w:bookmarkStart w:id="106" w:name="Xd3e31350d4cdd472e59738deeec3b8692045989"/>
    <w:p>
      <w:pPr>
        <w:pStyle w:val="Heading3"/>
      </w:pPr>
      <w:r>
        <w:rPr>
          <w:rStyle w:val="SectionNumber"/>
        </w:rPr>
        <w:t xml:space="preserve">4.2.8</w:t>
      </w:r>
      <w:r>
        <w:tab/>
      </w:r>
      <w:r>
        <w:t xml:space="preserve">Validation of the RNA-seq analysis with real-time quantitive PCR (RT-qPCR)</w:t>
      </w:r>
    </w:p>
    <w:p>
      <w:pPr>
        <w:pStyle w:val="FirstParagraph"/>
      </w:pPr>
      <w:r>
        <w:t xml:space="preserve">For the validation of the RNA-seq analysis, RNA is exctarcted from the same tissues as the RNA-seq tissues excluding callus (RT-qPCR tissues). Then RT-qPCR is preformed on the complementary DNA (cDNA) with specific primers for the gene that was identified as the most shoot-tip specific by the RNA-seq analysis. Several normalizer genes were used for the quantification of the expression between the different tissues.</w:t>
      </w:r>
    </w:p>
    <w:bookmarkEnd w:id="106"/>
    <w:bookmarkEnd w:id="107"/>
    <w:bookmarkEnd w:id="108"/>
    <w:bookmarkStart w:id="153" w:name="results"/>
    <w:p>
      <w:pPr>
        <w:pStyle w:val="Heading1"/>
      </w:pPr>
      <w:r>
        <w:rPr>
          <w:rStyle w:val="SectionNumber"/>
        </w:rPr>
        <w:t xml:space="preserve">5</w:t>
      </w:r>
      <w:r>
        <w:tab/>
      </w:r>
      <w:r>
        <w:t xml:space="preserve">Results</w:t>
      </w:r>
    </w:p>
    <w:p>
      <w:pPr>
        <w:pStyle w:val="FirstParagraph"/>
      </w:pPr>
      <w:r>
        <w:t xml:space="preserve">In this work I attempted to implement a novel gene editing method in-planta on trees. I worked on two species, Poplar from vegetative reproduction in tissue culture and apples plantlets from seeds. Poplar was used since it is a model plant and could serve for the best case scenario for gene editing in trees. I used PopAT so that I could control and mitigate as much of the variability in the experiments, because there is no genetic diversity in the plants and as a model organism, they are known to be susceptible to agroinfiltration. With apples it was different, the plants were grown from seeds and since apples are self-incompatible, the seedlings are diverse in their genetic makeup. Although the research is based on some success of others, still there is no consensus about the best practice to approach in-planta transformation. I examined new plants and new DRs, therefore however I did not begin by expressing the genes in tissue culture since I didn’t reasoned that as my final goal was in-planta transformation and because, it is well documented that one cannot deduce from tissue culture results to an in-planta experiment in a straightforward manner. Hence, the experiment scheme starts with in-planta experiments. sI began by assessing the best approach to facilitate the infiltration of the agrobacterium by different mechanical interventions. Next, I examined the influence of different combinations of DRs on the plant development. Finally, I scaled up the best results from the last two experiments for statistical analysis. In parallel I tried to examine the natural expression of genes in different tissues and especially in the shoot-tip by analyzing tissue specific transcriptomes of PopAT.</w:t>
      </w:r>
    </w:p>
    <w:bookmarkStart w:id="121" w:name="regeneration-of-sterile-popat"/>
    <w:p>
      <w:pPr>
        <w:pStyle w:val="Heading2"/>
      </w:pPr>
      <w:r>
        <w:rPr>
          <w:rStyle w:val="SectionNumber"/>
        </w:rPr>
        <w:t xml:space="preserve">5.1</w:t>
      </w:r>
      <w:r>
        <w:tab/>
      </w:r>
      <w:r>
        <w:t xml:space="preserve">Regeneration of sterile PopAT</w:t>
      </w:r>
    </w:p>
    <w:p>
      <w:pPr>
        <w:pStyle w:val="FirstParagraph"/>
      </w:pPr>
      <w:r>
        <w:t xml:space="preserve">For all the experiments envolving poplar plants, we had to obtain enough plant metirial. For that purpose we reproduced poplar plants in tissue culture through regeneration proccess (Figure</w:t>
      </w:r>
      <w:r>
        <w:t xml:space="preserve"> </w:t>
      </w:r>
      <w:r>
        <w:t xml:space="preserve">).</w:t>
      </w:r>
    </w:p>
    <w:p>
      <w:pPr>
        <w:pStyle w:val="BodyText"/>
      </w:pPr>
      <w:r>
        <w:drawing>
          <wp:inline>
            <wp:extent cx="5334000" cy="1869000"/>
            <wp:effectExtent b="0" l="0" r="0" t="0"/>
            <wp:docPr descr="Sterile Populus alba x tremula A: Whole plant, B: Leaves with vertical incision, C: Shoots" title="" id="110" name="Picture"/>
            <a:graphic>
              <a:graphicData uri="http://schemas.openxmlformats.org/drawingml/2006/picture">
                <pic:pic>
                  <pic:nvPicPr>
                    <pic:cNvPr descr="PopAT-regeneration.png" id="111" name="Picture"/>
                    <pic:cNvPicPr>
                      <a:picLocks noChangeArrowheads="1" noChangeAspect="1"/>
                    </pic:cNvPicPr>
                  </pic:nvPicPr>
                  <pic:blipFill>
                    <a:blip r:embed="rId109"/>
                    <a:stretch>
                      <a:fillRect/>
                    </a:stretch>
                  </pic:blipFill>
                  <pic:spPr bwMode="auto">
                    <a:xfrm>
                      <a:off x="0" y="0"/>
                      <a:ext cx="5334000" cy="1869000"/>
                    </a:xfrm>
                    <a:prstGeom prst="rect">
                      <a:avLst/>
                    </a:prstGeom>
                    <a:noFill/>
                    <a:ln w="9525">
                      <a:noFill/>
                      <a:headEnd/>
                      <a:tailEnd/>
                    </a:ln>
                  </pic:spPr>
                </pic:pic>
              </a:graphicData>
            </a:graphic>
          </wp:inline>
        </w:drawing>
      </w:r>
      <w:r>
        <w:t xml:space="preserve"> </w:t>
      </w:r>
      <w:r>
        <w:t xml:space="preserve">## Implementing VIGE in trees</w:t>
      </w:r>
    </w:p>
    <w:bookmarkStart w:id="115" w:name="generating-of-cas9-oe-poplar-plant"/>
    <w:p>
      <w:pPr>
        <w:pStyle w:val="Heading3"/>
      </w:pPr>
      <w:r>
        <w:rPr>
          <w:rStyle w:val="SectionNumber"/>
        </w:rPr>
        <w:t xml:space="preserve">5.1.1</w:t>
      </w:r>
      <w:r>
        <w:tab/>
      </w:r>
      <w:r>
        <w:t xml:space="preserve">Generating of Cas9-OE poplar plant</w:t>
      </w:r>
    </w:p>
    <w:p>
      <w:pPr>
        <w:pStyle w:val="FirstParagraph"/>
      </w:pPr>
      <w:r>
        <w:t xml:space="preserve">PopAT were transformed as described in</w:t>
      </w:r>
      <w:r>
        <w:t xml:space="preserve"> </w:t>
      </w:r>
      <w:hyperlink w:anchor="Generating%20Cas9-OE%20poplar%20plant">
        <w:r>
          <w:rPr>
            <w:rStyle w:val="Hyperlink"/>
            <w:bCs/>
            <w:b/>
          </w:rPr>
          <w:t xml:space="preserve">Generating Cas9-OE poplar plant</w:t>
        </w:r>
      </w:hyperlink>
      <w:r>
        <w:t xml:space="preserve"> </w:t>
      </w:r>
      <w:r>
        <w:t xml:space="preserve">in order to generate Cas9-OE poplar plants for purpose of implementing VIGE on them. Many attempts were made on that goal, most of which endded in failure as results of fungi contamination or agrobacterium over growth. One attempt even got to the point of final transformant validation (Figure</w:t>
      </w:r>
      <w:r>
        <w:t xml:space="preserve"> </w:t>
      </w:r>
      <w:r>
        <w:t xml:space="preserve">).</w:t>
      </w:r>
    </w:p>
    <w:p>
      <w:pPr>
        <w:pStyle w:val="CaptionedFigure"/>
      </w:pPr>
      <w:r>
        <w:drawing>
          <wp:inline>
            <wp:extent cx="5334000" cy="5034186"/>
            <wp:effectExtent b="0" l="0" r="0" t="0"/>
            <wp:docPr descr="Regenerated shoots T2 and T3 are susceptible to kanamycin, T4 is partially susceptible and T1 is unaffected" title="" id="113" name="Picture"/>
            <a:graphic>
              <a:graphicData uri="http://schemas.openxmlformats.org/drawingml/2006/picture">
                <pic:pic>
                  <pic:nvPicPr>
                    <pic:cNvPr descr="T1-4.jpg" id="114" name="Picture"/>
                    <pic:cNvPicPr>
                      <a:picLocks noChangeArrowheads="1" noChangeAspect="1"/>
                    </pic:cNvPicPr>
                  </pic:nvPicPr>
                  <pic:blipFill>
                    <a:blip r:embed="rId112"/>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Regenerated shoots T2 and T3 are susceptible to kanamycin, T4 is partially susceptible and T1 is unaffected</w:t>
      </w:r>
    </w:p>
    <w:p>
      <w:pPr>
        <w:pStyle w:val="BodyText"/>
      </w:pPr>
      <w:r>
        <w:t xml:space="preserve">DNA was isolated from these shoots and PCR was preformed with primers from the T-DNA in order to validate transformation. No shoot was found positive.</w:t>
      </w:r>
    </w:p>
    <w:bookmarkEnd w:id="115"/>
    <w:bookmarkStart w:id="116" w:name="Xf7bdadaf8740a3ba9e77c7b4422cb3b9343e100"/>
    <w:p>
      <w:pPr>
        <w:pStyle w:val="Heading3"/>
      </w:pPr>
      <w:r>
        <w:rPr>
          <w:rStyle w:val="SectionNumber"/>
        </w:rPr>
        <w:t xml:space="preserve">5.1.2</w:t>
      </w:r>
      <w:r>
        <w:tab/>
      </w:r>
      <w:r>
        <w:t xml:space="preserve">Generating a viral vector bearing sgRNA targeting PDS endogenes fused with mobile RNA sequence and GFP.</w:t>
      </w:r>
    </w:p>
    <w:bookmarkEnd w:id="116"/>
    <w:bookmarkStart w:id="120" w:name="X683ca79d85965931eaa68972c57a6c9de0c4709"/>
    <w:p>
      <w:pPr>
        <w:pStyle w:val="Heading3"/>
      </w:pPr>
      <w:r>
        <w:rPr>
          <w:rStyle w:val="SectionNumber"/>
        </w:rPr>
        <w:t xml:space="preserve">5.1.3</w:t>
      </w:r>
      <w:r>
        <w:tab/>
      </w:r>
      <w:r>
        <w:t xml:space="preserve">Infecting Cas9-OE poplar and Cas9-OE apples with GM-vector</w:t>
      </w:r>
    </w:p>
    <w:p>
      <w:pPr>
        <w:pStyle w:val="FirstParagraph"/>
      </w:pPr>
      <w:r>
        <w:t xml:space="preserve">Since we couldn’t successfully generate Cas9-OE poplars, we couldn’t infect them with out vectors. Fortunately, we teamed up as part of a graiter collaboration with Moshe Flaishman’s lab from the Department of Fruit Trees Sciences in the Institute of Plant Sciences at The Volcani Center. Flaishman’s lab generated two lines of Cas9-OE apples (#166, #177). These plants where transformed with the plasmid</w:t>
      </w:r>
      <w:r>
        <w:t xml:space="preserve"> </w:t>
      </w:r>
      <w:r>
        <w:rPr>
          <w:bCs/>
          <w:b/>
        </w:rPr>
        <w:t xml:space="preserve">pK7WGF2,0::hCas9</w:t>
      </w:r>
      <w:r>
        <w:t xml:space="preserve"> </w:t>
      </w:r>
      <w:r>
        <w:t xml:space="preserve">using Agrobacterium mediated transformation in tissue culture.</w:t>
      </w:r>
    </w:p>
    <w:p>
      <w:pPr>
        <w:pStyle w:val="CaptionedFigure"/>
      </w:pPr>
      <w:r>
        <w:drawing>
          <wp:inline>
            <wp:extent cx="5334000" cy="2712712"/>
            <wp:effectExtent b="0" l="0" r="0" t="0"/>
            <wp:docPr descr="One of the plants that reproduced from the #167 line.   Map of the T-DNA vector  The plant post infection" title="" id="118" name="Picture"/>
            <a:graphic>
              <a:graphicData uri="http://schemas.openxmlformats.org/drawingml/2006/picture">
                <pic:pic>
                  <pic:nvPicPr>
                    <pic:cNvPr descr="Flaishmans_apples.png" id="119" name="Picture"/>
                    <pic:cNvPicPr>
                      <a:picLocks noChangeArrowheads="1" noChangeAspect="1"/>
                    </pic:cNvPicPr>
                  </pic:nvPicPr>
                  <pic:blipFill>
                    <a:blip r:embed="rId117"/>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One of the plants that reproduced from the #167 line.</w:t>
      </w:r>
      <w:r>
        <w:t xml:space="preserve"> </w:t>
      </w:r>
      <w:r>
        <w:t xml:space="preserve"> </w:t>
      </w:r>
      <w:r>
        <w:t xml:space="preserve"> </w:t>
      </w:r>
      <w:r>
        <w:t xml:space="preserve">Map of the T-DNA vector</w:t>
      </w:r>
      <w:r>
        <w:t xml:space="preserve"> </w:t>
      </w:r>
      <w:r>
        <w:t xml:space="preserve"> </w:t>
      </w:r>
      <w:r>
        <w:t xml:space="preserve">The plant post infection</w:t>
      </w:r>
    </w:p>
    <w:bookmarkEnd w:id="120"/>
    <w:bookmarkEnd w:id="121"/>
    <w:bookmarkStart w:id="152" w:name="X458f987b091943d3a4fc3f2d9c6a08f1d11d9d1"/>
    <w:p>
      <w:pPr>
        <w:pStyle w:val="Heading2"/>
      </w:pPr>
      <w:r>
        <w:rPr>
          <w:rStyle w:val="SectionNumber"/>
        </w:rPr>
        <w:t xml:space="preserve">5.2</w:t>
      </w:r>
      <w:r>
        <w:tab/>
      </w:r>
      <w:r>
        <w:t xml:space="preserve">Implementing De-novo maristem induction and transformation in trees</w:t>
      </w:r>
    </w:p>
    <w:bookmarkStart w:id="122" w:name="X0753ee00e85f8fbe4aba815818d45b0dbb1ddaa"/>
    <w:p>
      <w:pPr>
        <w:pStyle w:val="Heading3"/>
      </w:pPr>
      <w:r>
        <w:rPr>
          <w:rStyle w:val="SectionNumber"/>
        </w:rPr>
        <w:t xml:space="preserve">5.2.1</w:t>
      </w:r>
      <w:r>
        <w:tab/>
      </w:r>
      <w:r>
        <w:t xml:space="preserve">Construction of plasmids containing DRs, Cas9 and sgRNAs</w:t>
      </w:r>
    </w:p>
    <w:p>
      <w:pPr>
        <w:pStyle w:val="FirstParagraph"/>
      </w:pPr>
      <w:r>
        <w:t xml:space="preserve">A variety of plasmids was required to insure a wide range of DR combinations on both cultivars with different reporter genes. Therefor as much as 21 plasmids constructed (Table</w:t>
      </w:r>
      <w:r>
        <w:t xml:space="preserve"> </w:t>
      </w:r>
      <w:r>
        <w:t xml:space="preserve">). 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Some of the building blocks were purchased ready-made and some I constructed.</w:t>
      </w:r>
    </w:p>
    <w:bookmarkEnd w:id="122"/>
    <w:bookmarkStart w:id="129" w:name="infection-methods-experiment-1"/>
    <w:p>
      <w:pPr>
        <w:pStyle w:val="Heading3"/>
      </w:pPr>
      <w:r>
        <w:rPr>
          <w:rStyle w:val="SectionNumber"/>
        </w:rPr>
        <w:t xml:space="preserve">5.2.2</w:t>
      </w:r>
      <w:r>
        <w:tab/>
      </w:r>
      <w:r>
        <w:t xml:space="preserve">Infection methods experiment</w:t>
      </w:r>
    </w:p>
    <w:p>
      <w:pPr>
        <w:pStyle w:val="FirstParagraph"/>
      </w:pPr>
      <w:r>
        <w:t xml:space="preserve">Assessment of infection methods for the infiltration and infection of apple plants by agrobacterium, was performed by 3 methods (Figure</w:t>
      </w:r>
      <w:r>
        <w:t xml:space="preserve"> </w:t>
      </w:r>
      <w:r>
        <w:t xml:space="preserve">). Infection method A is based on a well-established protocol for Nicotiana benthamiana where the agrobacterium is driven by pressure into the intercellular spaces in the leaf via the stoma (</w:t>
      </w:r>
      <w:r>
        <w:rPr>
          <w:bCs/>
          <w:b/>
        </w:rPr>
        <w:t xml:space="preserve">Citation</w:t>
      </w:r>
      <w:r>
        <w:t xml:space="preserve">). It should be noted that in contrast to Nicotiana benthamiana, apple leaves are stiff and their ability to absorb liquid is lower and therefor this method may not be as suitable for them. In Infection method B, the agrobacterium is injected into the leaf veins. The reason for to targeting specifically the leaf veins was since in tissue culture those cells are the first to regenerate. In Infection method C, the shoot tip was sniped off and the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7 and 6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the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24" name="Picture"/>
            <a:graphic>
              <a:graphicData uri="http://schemas.openxmlformats.org/drawingml/2006/picture">
                <pic:pic>
                  <pic:nvPicPr>
                    <pic:cNvPr descr="wox-stm%20transformant3.png" id="125" name="Picture"/>
                    <pic:cNvPicPr>
                      <a:picLocks noChangeArrowheads="1" noChangeAspect="1"/>
                    </pic:cNvPicPr>
                  </pic:nvPicPr>
                  <pic:blipFill>
                    <a:blip r:embed="rId123"/>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in the base of the plant and a new leaf in the shoot. For validation of T-DNA integration in the genome, a segment of the T-DNA cassette that contains the Cas9 gene was amplified by PCR. The PCR products was run on agarose gel and photographed on a UV-light table. For the positive control served the plasmid that was used for the transformation, pTRANS WOX11-STM, and for the negative control served the PCR reaction solution without DNA (Cas9 stock). To validate that the DNA extraction was successful, a sequence from the actin gene was amplified using PCR reaction and was anelyzed too by agarose gel electrophoresis. For negative control the PCR reaction solution without DNA (Actin stock) was used. A band was observed in the new leaf sample at the expected length (201 bp), as seen in the positive control sample and wasn’t observed in the old leaf. Both DNA samples showed successful amplification of the Actin gene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27" name="Picture"/>
            <a:graphic>
              <a:graphicData uri="http://schemas.openxmlformats.org/drawingml/2006/picture">
                <pic:pic>
                  <pic:nvPicPr>
                    <pic:cNvPr descr="WOX-STM%20transformant%20Cas9+Actin3.jpg" id="128" name="Picture"/>
                    <pic:cNvPicPr>
                      <a:picLocks noChangeArrowheads="1" noChangeAspect="1"/>
                    </pic:cNvPicPr>
                  </pic:nvPicPr>
                  <pic:blipFill>
                    <a:blip r:embed="rId126"/>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for mutation analysis. No mutation was observed.</w:t>
      </w:r>
    </w:p>
    <w:bookmarkEnd w:id="129"/>
    <w:bookmarkStart w:id="133" w:name="drs-experiment-1"/>
    <w:p>
      <w:pPr>
        <w:pStyle w:val="Heading3"/>
      </w:pPr>
      <w:r>
        <w:rPr>
          <w:rStyle w:val="SectionNumber"/>
        </w:rPr>
        <w:t xml:space="preserve">5.2.3</w:t>
      </w:r>
      <w:r>
        <w:tab/>
      </w:r>
      <w:r>
        <w:t xml:space="preserve">DRs experiment</w:t>
      </w:r>
    </w:p>
    <w:p>
      <w:pPr>
        <w:pStyle w:val="FirstParagraph"/>
      </w:pPr>
      <w:r>
        <w:t xml:space="preserve">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variety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31" name="Picture"/>
            <a:graphic>
              <a:graphicData uri="http://schemas.openxmlformats.org/drawingml/2006/picture">
                <pic:pic>
                  <pic:nvPicPr>
                    <pic:cNvPr descr="Transformant2%20results.png" id="132" name="Picture"/>
                    <pic:cNvPicPr>
                      <a:picLocks noChangeArrowheads="1" noChangeAspect="1"/>
                    </pic:cNvPicPr>
                  </pic:nvPicPr>
                  <pic:blipFill>
                    <a:blip r:embed="rId130"/>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33"/>
    <w:bookmarkStart w:id="134" w:name="scale-up-experiment-1"/>
    <w:p>
      <w:pPr>
        <w:pStyle w:val="Heading3"/>
      </w:pPr>
      <w:r>
        <w:rPr>
          <w:rStyle w:val="SectionNumber"/>
        </w:rPr>
        <w:t xml:space="preserve">5.2.4</w:t>
      </w:r>
      <w:r>
        <w:tab/>
      </w:r>
      <w:r>
        <w:t xml:space="preserve">Scale-up experiment</w:t>
      </w:r>
    </w:p>
    <w:p>
      <w:pPr>
        <w:pStyle w:val="FirstParagraph"/>
      </w:pPr>
      <w:r>
        <w:t xml:space="preserve">At the scale up experiment for the purpose of statistical analysis of the methods found in the last two experiments. At this experiment about 800 seeds were planted from two apple varieties (Pink Lady and Granny Smith), out of which about half germinated. 400 plantlets were infected with 2 of the most promising plasmids (WOX11-STM and WUS2-STM) and 1 control plasmid (Empty). However, the plants were infected by Powdery mildew and Aphids diseases, hence no phenotype could be observed.</w:t>
      </w:r>
    </w:p>
    <w:bookmarkEnd w:id="134"/>
    <w:bookmarkStart w:id="135" w:name="high-humidity-experiment-1"/>
    <w:p>
      <w:pPr>
        <w:pStyle w:val="Heading3"/>
      </w:pPr>
      <w:r>
        <w:rPr>
          <w:rStyle w:val="SectionNumber"/>
        </w:rPr>
        <w:t xml:space="preserve">5.2.5</w:t>
      </w:r>
      <w:r>
        <w:tab/>
      </w: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similarly to the Scale-up experiment. Unfortunately, with those conditions no shoot regeneration was observed.</w:t>
      </w:r>
    </w:p>
    <w:bookmarkEnd w:id="135"/>
    <w:bookmarkStart w:id="136" w:name="poplar-infections-1"/>
    <w:p>
      <w:pPr>
        <w:pStyle w:val="Heading3"/>
      </w:pPr>
      <w:r>
        <w:rPr>
          <w:rStyle w:val="SectionNumber"/>
        </w:rPr>
        <w:t xml:space="preserve">5.2.6</w:t>
      </w:r>
      <w:r>
        <w:tab/>
      </w:r>
      <w:r>
        <w:t xml:space="preserve">Poplar infections</w:t>
      </w:r>
    </w:p>
    <w:p>
      <w:pPr>
        <w:pStyle w:val="FirstParagraph"/>
      </w:pPr>
      <w:r>
        <w:t xml:space="preserve">A similar experiment was performed on PopAT in which the infection was of soil grown plantlets were infected utilizing method C (Figure</w:t>
      </w:r>
      <w:r>
        <w:t xml:space="preserve"> </w:t>
      </w:r>
      <w:r>
        <w:t xml:space="preserve">) applying the poplar constructs detailed in Table 5. Unfortunately, no phenotype as result of the treatment was observed.</w:t>
      </w:r>
    </w:p>
    <w:bookmarkEnd w:id="136"/>
    <w:bookmarkStart w:id="140" w:name="Xb35746896abfb1ce47be9fe574c5c40bf60e9bf"/>
    <w:p>
      <w:pPr>
        <w:pStyle w:val="Heading3"/>
      </w:pPr>
      <w:r>
        <w:rPr>
          <w:rStyle w:val="SectionNumber"/>
        </w:rPr>
        <w:t xml:space="preserve">5.2.7</w:t>
      </w:r>
      <w:r>
        <w:tab/>
      </w:r>
      <w:r>
        <w:t xml:space="preserve">Identification of new transcription factors that are development regulators in poplar</w:t>
      </w:r>
    </w:p>
    <w:p>
      <w:pPr>
        <w:pStyle w:val="FirstParagraph"/>
      </w:pPr>
      <w:r>
        <w:t xml:space="preserve">After several experiments in apples and poplar plants with DRs described in the litraturet and obtaining non-sufficient results. I tried and identify</w:t>
      </w:r>
      <w:r>
        <w:t xml:space="preserve"> </w:t>
      </w:r>
      <w:r>
        <w:t xml:space="preserve">‘</w:t>
      </w:r>
      <w:r>
        <w:t xml:space="preserve">new</w:t>
      </w:r>
      <w:r>
        <w:t xml:space="preserve">’</w:t>
      </w:r>
      <w:r>
        <w:t xml:space="preserve"> </w:t>
      </w:r>
      <w:r>
        <w:t xml:space="preserve">transcriptional factors that are expressed in the epical meristem. Tissue specific transcriptome data</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the accessions so that only those with that were there count was grater than at least an order of magnitude in the shoot tip compared to the other tissue examined (Root-tip, Bud, Bark, Xylem and leaf). After the filtration 85 accessions remained. I found that from the WUSHCEL-related gene family, WOX1 was by far the most expressed gene in the shoot-tip in comparison to other tissues (Figure</w:t>
      </w:r>
      <w:r>
        <w:t xml:space="preserve"> </w:t>
      </w:r>
      <w:r>
        <w:t xml:space="preserve">) and was with the</w:t>
      </w:r>
      <w:r>
        <w:t xml:space="preserve"> </w:t>
      </w:r>
      <m:oMath>
        <m:sSup>
          <m:e>
            <m:r>
              <m:t>8</m:t>
            </m:r>
          </m:e>
          <m:sup>
            <m:r>
              <m:t>t</m:t>
            </m:r>
            <m:r>
              <m:t>h</m:t>
            </m:r>
          </m:sup>
        </m:sSup>
      </m:oMath>
      <w:r>
        <w:t xml:space="preserve"> </w:t>
      </w:r>
      <w:r>
        <w:t xml:space="preserve">highest expression over all (Table</w:t>
      </w:r>
      <w:r>
        <w:t xml:space="preserve"> </w:t>
      </w:r>
      <w:r>
        <w:t xml:space="preserve">).</w:t>
      </w:r>
    </w:p>
    <w:p>
      <w:pPr>
        <w:pStyle w:val="CaptionedFigure"/>
      </w:pPr>
      <w:r>
        <w:drawing>
          <wp:inline>
            <wp:extent cx="4620126" cy="3696101"/>
            <wp:effectExtent b="0" l="0" r="0" t="0"/>
            <wp:docPr descr="WOX1 expression detected by the RNA-seq analysis" title="" id="138" name="Picture"/>
            <a:graphic>
              <a:graphicData uri="http://schemas.openxmlformats.org/drawingml/2006/picture">
                <pic:pic>
                  <pic:nvPicPr>
                    <pic:cNvPr descr="Developing-noval-methods-for-gene-editing-in-trees_files/figure-docx/RNA-seq-1.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bookmarkEnd w:id="140"/>
    <w:bookmarkStart w:id="147" w:name="X06c7ad94b5ec1057f24080369eb354fbf4d96c6"/>
    <w:p>
      <w:pPr>
        <w:pStyle w:val="Heading3"/>
      </w:pPr>
      <w:r>
        <w:rPr>
          <w:rStyle w:val="SectionNumber"/>
        </w:rPr>
        <w:t xml:space="preserve">5.2.8</w:t>
      </w:r>
      <w:r>
        <w:tab/>
      </w:r>
      <w:r>
        <w:t xml:space="preserve">Validation of the RNA-seq analysis with real-time quantitive PCR (RT-qPCR)</w:t>
      </w:r>
    </w:p>
    <w:p>
      <w:pPr>
        <w:pStyle w:val="FirstParagraph"/>
      </w:pPr>
      <w:r>
        <w:t xml:space="preserve">The RT-qPCR is a well established and highly sensitive method for the assessment of gene specific expression and hence can help validate the results of RNA-seq analysis. In most RT-qPCR experiments, the samples are from the same tissue which was exposed to different conditions and hence there are a few house-kipping gene that are commonly used for internal normalization. I performed, RT-qPCR on</w:t>
      </w:r>
      <w:r>
        <w:t xml:space="preserve"> </w:t>
      </w:r>
      <w:r>
        <w:rPr>
          <w:iCs/>
          <w:i/>
        </w:rPr>
        <w:t xml:space="preserve">WOX1</w:t>
      </w:r>
      <w:r>
        <w:t xml:space="preserve"> </w:t>
      </w:r>
      <w:r>
        <w:t xml:space="preserve">for compering its expression in different tissues (RT-qPCR tissues). At first, I tried to use one of the common house-keeping gene, Actin-7, but, it exhibited a high variation in its expression between the tissues and can not be used as a reliable internal normalizer. Therefore, I returned to the RNA-seq data to look for other normalization genes. I chose the most unchanged genes across all tissues that were compared (RT-qPCR tissues). Excluding uncharacterized and mitochondrial genes the most uniformly expressed genes were Serine/threonine-protein phosphatase PP2A-4 catalytic subunit and E3 ubiquitin ligase. Hence, I used these two for normalization in the</w:t>
      </w:r>
      <w:r>
        <w:t xml:space="preserve"> </w:t>
      </w:r>
      <w:r>
        <w:rPr>
          <w:iCs/>
          <w:i/>
        </w:rPr>
        <w:t xml:space="preserve">WOX1</w:t>
      </w:r>
      <w:r>
        <w:t xml:space="preserve"> </w:t>
      </w:r>
      <w:r>
        <w:t xml:space="preserve">RT-qPCR tests. In each test I compared the variation in the expression of the normalizing gene among all tissues calculated by the coefficient of variance. In other words, I examined how different was the expression of each gene in the different tissues. Even though the RNA-seq analysis showed little variability in the expression of those gene in the different tissues, the RT-qPCR results showed otherwise. PP2A-4 gene expression was similar in its variation to the expression of Actin-7 gene with a CV of 0.13 and E3 ubiquitin ligase expression was the most uniform with a CV of 0.05 (Figures</w:t>
      </w:r>
      <w:r>
        <w:t xml:space="preserve"> </w:t>
      </w:r>
      <w:r>
        <w:t xml:space="preserve">).</w:t>
      </w:r>
    </w:p>
    <w:p>
      <w:pPr>
        <w:pStyle w:val="BodyText"/>
      </w:pPr>
      <w:r>
        <w:drawing>
          <wp:inline>
            <wp:extent cx="4620126" cy="3696101"/>
            <wp:effectExtent b="0" l="0" r="0" t="0"/>
            <wp:docPr descr="Expression of internal normalizers gene analyzed by RT-qPCR. CV referse to the coefficient of variation and it represent a score for the amount in which the normalizer expressed consistently between the different tissues. As the CV get smaller, the expression is more uniform." title="" id="142" name="Picture"/>
            <a:graphic>
              <a:graphicData uri="http://schemas.openxmlformats.org/drawingml/2006/picture">
                <pic:pic>
                  <pic:nvPicPr>
                    <pic:cNvPr descr="Developing-noval-methods-for-gene-editing-in-trees_files/figure-docx/qPCR_normalizers-1.png" id="143"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(Bud &gt; RootTip &gt; Bark &gt; Xylem &gt; Leaf), the only tissue that repositioned was the shoot tip, from third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title="" id="145" name="Picture"/>
            <a:graphic>
              <a:graphicData uri="http://schemas.openxmlformats.org/drawingml/2006/picture">
                <pic:pic>
                  <pic:nvPicPr>
                    <pic:cNvPr descr="Developing-noval-methods-for-gene-editing-in-trees_files/figure-docx/qPCR-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w:t>
      </w:r>
    </w:p>
    <w:bookmarkEnd w:id="147"/>
    <w:bookmarkStart w:id="151" w:name="wox1-gene-isolation-from-popat-shoot-tip"/>
    <w:p>
      <w:pPr>
        <w:pStyle w:val="Heading3"/>
      </w:pPr>
      <w:r>
        <w:rPr>
          <w:rStyle w:val="SectionNumber"/>
        </w:rPr>
        <w:t xml:space="preserve">5.2.9</w:t>
      </w:r>
      <w:r>
        <w:tab/>
      </w: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the genomic data was 1164 bp. However the band obtained was about ~1700 bp, ~500 bp longer than expected. I assumed that the gene might hold an intron, although it is not known to contain one. Consequently, I decided to isolate the gene from cDNA. After extraction and purification of RNA from the tissue, cDNA was prepared, and</w:t>
      </w:r>
      <w:r>
        <w:t xml:space="preserve"> </w:t>
      </w:r>
      <w:r>
        <w:rPr>
          <w:iCs/>
          <w:i/>
        </w:rPr>
        <w:t xml:space="preserve">WOX1</w:t>
      </w:r>
      <w:r>
        <w:t xml:space="preserve"> </w:t>
      </w:r>
      <w:r>
        <w:t xml:space="preserve">was amplified. The band observed in the agarose gel was at the expected length of 1164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49" name="Picture"/>
            <a:graphic>
              <a:graphicData uri="http://schemas.openxmlformats.org/drawingml/2006/picture">
                <pic:pic>
                  <pic:nvPicPr>
                    <pic:cNvPr descr="WOX1_isolation.png" id="150" name="Picture"/>
                    <pic:cNvPicPr>
                      <a:picLocks noChangeArrowheads="1" noChangeAspect="1"/>
                    </pic:cNvPicPr>
                  </pic:nvPicPr>
                  <pic:blipFill>
                    <a:blip r:embed="rId148"/>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51"/>
    <w:bookmarkEnd w:id="152"/>
    <w:bookmarkEnd w:id="153"/>
    <w:bookmarkStart w:id="158" w:name="discussion-and-conclusions"/>
    <w:p>
      <w:pPr>
        <w:pStyle w:val="Heading1"/>
      </w:pPr>
      <w:r>
        <w:rPr>
          <w:rStyle w:val="SectionNumber"/>
        </w:rPr>
        <w:t xml:space="preserve">6</w:t>
      </w:r>
      <w:r>
        <w:tab/>
      </w:r>
      <w:r>
        <w:t xml:space="preserve">Discussion and 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54">
        <w:r>
          <w:rPr>
            <w:rStyle w:val="Hyperlink"/>
          </w:rPr>
          <w:t xml:space="preserve">(AREA USED FOR PRODUCTION (FAO 2017))</w:t>
        </w:r>
      </w:hyperlink>
      <w:r>
        <w:t xml:space="preserve">. Cereal cultivars are annual plant and as such are more prone to be effected by changes in irrigation and overall climate patterns</w:t>
      </w:r>
      <w:r>
        <w:t xml:space="preserve"> </w:t>
      </w:r>
      <w:r>
        <w:t xml:space="preserve">(Shiferaw et al. 2014)</w:t>
      </w:r>
      <w:r>
        <w:t xml:space="preserve">. In contrast, Trees, or specifically fruit trees in the context of food production, are more resilient to environmental changes manly due to their strong and deep roots. Consequently, trees have an important role in food security. Currently, fruit trees produce a small part of the world’s overall food production. For trees to reach their full potential, crop improvement methods need to be more robust. Genome editing using CRISPR/Cas9 technology can contribute to this effort. For a method to be adopted, it needs to fulfill certain criteria such as, speed, ease of execution, cheap and minimal preliminary knowledge. The most common used method for crop improvement using a molecular genetic approach is by agrobacterium-mediated transformation. This method involves ex-plant in sterile environment on tissue culture medium. At present, for genome editing, the CRISPR/Cas9 system is ligated into agrobacterium T-DNA cassette. This method was a dramatic brake through in plant genetics but still it takes several months till soil-grown transformant plant is obtained and moreover it requires skilled personal for implementation and knowhow such as the specific growth medium and conditions per cultivar etc.</w:t>
      </w:r>
    </w:p>
    <w:p>
      <w:pPr>
        <w:pStyle w:val="BodyText"/>
      </w:pPr>
      <w:r>
        <w:t xml:space="preserve">In-planta transformation, without involving cell culture, is an extremely desired goal. Zhang et al.(2017) developed a transformation method that mimics tissue culture in-planta by creating a micro environment on an inner tissue section of the plant. The method was implemented on pomelo. a stem of a young plant was cut and the edge was inserted into a tube which was filled with liquid growth medium. From there on, the whole process was in line with other agrobacterium-mediated transformation procedures, co-culture with</w:t>
      </w:r>
      <w:r>
        <w:t xml:space="preserve"> </w:t>
      </w:r>
      <w:r>
        <w:rPr>
          <w:iCs/>
          <w:i/>
        </w:rPr>
        <w:t xml:space="preserve">Agrobacterium tumefaciens</w:t>
      </w:r>
      <w:r>
        <w:t xml:space="preserve"> </w:t>
      </w:r>
      <w:r>
        <w:t xml:space="preserve">in the dark, adding of antibiotics and hormones (Figure</w:t>
      </w:r>
      <w:r>
        <w:t xml:space="preserve"> </w:t>
      </w:r>
      <w:r>
        <w:t xml:space="preserve">). several of the drawbacks in tissue culture methods are present here too, like the need for hormones and antibiotics.</w:t>
      </w:r>
    </w:p>
    <w:bookmarkStart w:id="155" w:name="X5ce682acdc43c7809d2b7a71c7cdbe4be6e761d"/>
    <w:p>
      <w:pPr>
        <w:pStyle w:val="Heading2"/>
      </w:pPr>
      <w:r>
        <w:rPr>
          <w:rStyle w:val="SectionNumber"/>
        </w:rPr>
        <w:t xml:space="preserve">6.1</w:t>
      </w:r>
      <w:r>
        <w:tab/>
      </w:r>
      <w:r>
        <w:t xml:space="preserve">DRs based tree transformation experiments</w:t>
      </w:r>
    </w:p>
    <w:p>
      <w:pPr>
        <w:pStyle w:val="FirstParagraph"/>
      </w:pPr>
      <w:r>
        <w:t xml:space="preserve">Maher et al.(2020) developed a novel method for plant gene editing by introducing a defined combination of DRs into the cell as well as CRISPR/Cas9 and sgRNA, with the use of agrobacterium on soil-grown plants. As a result a de-novo shoot induction is obtained as well as editing in the gene of interest without using tissue culture. The experiment was performed on annual plants (tobacco, tomato) and one Perennial plant, grapevine. It should be noted that in most cases deformations occurred as a result of the over expression of the DRs.</w:t>
      </w:r>
    </w:p>
    <w:p>
      <w:pPr>
        <w:pStyle w:val="BodyText"/>
      </w:pPr>
      <w:r>
        <w:t xml:space="preserve">In this work I attempted to implement this novel transformation method on trees, on poplar as a model system and on apple as one of the most economically important fruit trees. The potential of this method is sound and in trees it is even more striking when compared with traditional methods because all the reason discussed in the genetic editing bottleneck section.</w:t>
      </w:r>
    </w:p>
    <w:p>
      <w:pPr>
        <w:pStyle w:val="BodyText"/>
      </w:pPr>
      <w:r>
        <w:t xml:space="preserve">The target in poplar was PDS because it is a well-established reporter gene for the verification of gene knockout (mutating the gene results in disruption of green pigmentation and the plant turns white). The target gene in apple was the S-RNase gene which regulates the self-incompatibility fertilization system (mutating the gene results in self-fertilization ability)</w:t>
      </w:r>
      <w:r>
        <w:t xml:space="preserve"> </w:t>
      </w:r>
      <w:r>
        <w:t xml:space="preserve">(Del Duca et al. 2019)</w:t>
      </w:r>
      <w:r>
        <w:t xml:space="preserve">. If this editing will succeed this will be a major step towards the construction of self-compatible apple cultivar which up to date do not exist.</w:t>
      </w:r>
    </w:p>
    <w:p>
      <w:pPr>
        <w:pStyle w:val="BodyText"/>
      </w:pPr>
      <w:r>
        <w:t xml:space="preserve">I examined three different strategies for introducing DNA into the plant using agrobacterium: pressure injection to the leaf surface, injection to the leaf veins and injection to a stem cut. Our result was in favor of the latter, which is a similar method to the one described by Zhang et al.(2017) (Figure</w:t>
      </w:r>
      <w:r>
        <w:t xml:space="preserve"> </w:t>
      </w:r>
      <w:r>
        <w:t xml:space="preserve">).</w:t>
      </w:r>
    </w:p>
    <w:p>
      <w:pPr>
        <w:pStyle w:val="BodyText"/>
      </w:pPr>
      <w:r>
        <w:t xml:space="preserve">Maher et al.(2020) aimed to show de-novo shoot induction as a proof of concept, hence their DNA introduction strategy was to surgically remove axillary buds and inject the agrobacterium to the cuts. Since my target gene in apples wasn’t going to produce visual clues for gene editing, I was concerned for not beeing able to properly insure total removal of the axillary bud, and in order to avoid false positives for the regeneration as much as possible, I decided to not imitate their research on that regard.</w:t>
      </w:r>
    </w:p>
    <w:p>
      <w:pPr>
        <w:pStyle w:val="BodyText"/>
      </w:pPr>
      <w:r>
        <w:t xml:space="preserve">In comparison to Maher et al.(2020) that describe the work on</w:t>
      </w:r>
      <w:r>
        <w:t xml:space="preserve"> </w:t>
      </w:r>
      <w:r>
        <w:rPr>
          <w:iCs/>
          <w:i/>
        </w:rPr>
        <w:t xml:space="preserve">Nicotiana benthamiana</w:t>
      </w:r>
      <w:r>
        <w:t xml:space="preserve"> </w:t>
      </w:r>
      <w:r>
        <w:t xml:space="preserve">and also mentioned work on tomato, potato and grape, we attempted to implement the method on poplar and apple trees. Another difference in comparison to their work appeared in the results. The new shoot formed on the top of the stem was not deformed (Figure</w:t>
      </w:r>
      <w:r>
        <w:t xml:space="preserve"> </w:t>
      </w:r>
      <w:r>
        <w:t xml:space="preserve">), possibly as a result of the nature of the growth, mimicking the natural shoot apical meristem, and the apical control with all its hormone flux involve in the process.</w:t>
      </w:r>
    </w:p>
    <w:p>
      <w:pPr>
        <w:pStyle w:val="BodyText"/>
      </w:pPr>
      <w:r>
        <w:t xml:space="preserve">The infection methods were examined at first as a preliminary experiment only on one plant with each of the plasmids, resulted in regenerative plants when the plasmids harbored the DR combinations WOX11-STM and WUS-STM. The construct contained also the CRISPR system with a gRNA targeting the S-RNase gene however editing was not identified in the sequence of the S-RNase genes. For further verification a larger experiment was performed with the same plasmids (DRs experiment). 352 plants were infected. 44 of them with WOX11-STM, and 4 of them regenerated new shoot from the cut site. Other the the scale DRs experiment was different compared to the preliminary one in that the cut site was covered with parafilm for better moister maintenance</w:t>
      </w:r>
      <w:r>
        <w:t xml:space="preserve"> </w:t>
      </w:r>
      <w:r>
        <w:t xml:space="preserve">(Zhang et al. 2017)</w:t>
      </w:r>
      <w:r>
        <w:t xml:space="preserve">.</w:t>
      </w:r>
    </w:p>
    <w:p>
      <w:pPr>
        <w:pStyle w:val="BodyText"/>
      </w:pPr>
      <w:r>
        <w:t xml:space="preserve">In the scale-up experiment, both parafilm and aluminum foil was used to cover the stem cut for kipping dark and moist environment. The Dark environment is crucial in the first 48 hours for the agrobacterium infection. Unfortunately, as a result of disease spread, no phenotype was observed.</w:t>
      </w:r>
    </w:p>
    <w:p>
      <w:pPr>
        <w:pStyle w:val="BodyText"/>
      </w:pPr>
      <w:r>
        <w:t xml:space="preserve">In another experiment, to increase the possibility of infection success, the seeds were grown under aseptic conditions, on soil and were kept in a high humidity environment. However, this strategy did not help and no shoot regeneration was not formed.</w:t>
      </w:r>
    </w:p>
    <w:p>
      <w:pPr>
        <w:pStyle w:val="BodyText"/>
      </w:pPr>
      <w:r>
        <w:t xml:space="preserve">Although some experiments I has technical problems I think that from the results that were obtained one may suggest that it is important to use plants at an exact growth stage that may be more susceptible to transformation with agrobacterium. Possibly seedlings are preferable than cuttings and probably an early stage of the seedling development – immediately after developing the first two leaves. Hence, I suggest that for future experiment to utilize this property of seedlings and all the other advantages of PopAT, it hould be wise to experiment on PopAT seedlings.</w:t>
      </w:r>
    </w:p>
    <w:bookmarkEnd w:id="155"/>
    <w:bookmarkStart w:id="157" w:name="Xa9ef74ce02f2988c1ad4f722bf6c38c2f7d1111"/>
    <w:p>
      <w:pPr>
        <w:pStyle w:val="Heading2"/>
      </w:pPr>
      <w:r>
        <w:rPr>
          <w:rStyle w:val="SectionNumber"/>
        </w:rPr>
        <w:t xml:space="preserve">6.2</w:t>
      </w:r>
      <w:r>
        <w:tab/>
      </w:r>
      <w:r>
        <w:rPr>
          <w:iCs/>
          <w:i/>
        </w:rPr>
        <w:t xml:space="preserve">WOX1</w:t>
      </w:r>
      <w:r>
        <w:t xml:space="preserve"> </w:t>
      </w:r>
      <w:r>
        <w:t xml:space="preserve">as a potential epical meristem transcription factor for DR induced transformation</w:t>
      </w:r>
    </w:p>
    <w:p>
      <w:pPr>
        <w:pStyle w:val="FirstParagraph"/>
      </w:pPr>
      <w:r>
        <w:t xml:space="preserve">To further attempts to increase the frequency of de-novo shoot formation, I pursue the identification of new transcription factors that are development regulators in trees and perhaps, under the right conditions, would act as a master regulators. Fortunately, in 2017 the</w:t>
      </w:r>
      <w:r>
        <w:t xml:space="preserve"> </w:t>
      </w:r>
      <w:hyperlink r:id="rId156">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transcriptome.I analyzed the transcription profile per tissue, and identified genes that are strongly correlated to shoot development. In the analysis it appeared that out of the WUSCHEL-related homeobox (WOX) gene family,</w:t>
      </w:r>
      <w:r>
        <w:t xml:space="preserve"> </w:t>
      </w:r>
      <w:r>
        <w:rPr>
          <w:iCs/>
          <w:i/>
        </w:rPr>
        <w:t xml:space="preserve">WOX1</w:t>
      </w:r>
      <w:r>
        <w:t xml:space="preserve"> </w:t>
      </w:r>
      <w:r>
        <w:t xml:space="preserve">had the strongest correlation to shoot formation. This finding corresponds to the Tvorogova et al.(2021), where</w:t>
      </w:r>
      <w:r>
        <w:t xml:space="preserve"> </w:t>
      </w:r>
      <w:r>
        <w:rPr>
          <w:iCs/>
          <w:i/>
        </w:rPr>
        <w:t xml:space="preserve">WOX1</w:t>
      </w:r>
      <w:r>
        <w:t xml:space="preserve"> </w:t>
      </w:r>
      <w:r>
        <w:t xml:space="preserve">was found to regulate auxin response. This makes sense, since many of the genes whose expression is affected by WOX1 are involved in signaling pathways, transport, and synthesis of auxin. Furthermore, after narrowing the results to genes that are at least an order of magnitude shoot specific over all tissues, WOX1 came in &amp;8^{th}&amp; place out of 85.</w:t>
      </w:r>
    </w:p>
    <w:p>
      <w:pPr>
        <w:pStyle w:val="BodyText"/>
      </w:pPr>
      <w:r>
        <w:t xml:space="preserve">With strong corelation to our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I observe in contrast to Maher et al’s.</w:t>
      </w:r>
      <w:r>
        <w:t xml:space="preserve">(Maher et al. 2020)</w:t>
      </w:r>
      <w:r>
        <w:t xml:space="preserve"> </w:t>
      </w:r>
      <w:r>
        <w:t xml:space="preserve">findings.</w:t>
      </w:r>
    </w:p>
    <w:p>
      <w:pPr>
        <w:pStyle w:val="BodyText"/>
      </w:pPr>
      <w:r>
        <w:rPr>
          <w:iCs/>
          <w:i/>
        </w:rPr>
        <w:t xml:space="preserve">WOX11</w:t>
      </w:r>
      <w:r>
        <w:t xml:space="preserve"> </w:t>
      </w:r>
      <w:r>
        <w:t xml:space="preserve">is known as a regulator of callus formation, development of adventitious roots, shoot regeneration and somatic embryogenesis</w:t>
      </w:r>
      <w:r>
        <w:t xml:space="preserve"> </w:t>
      </w:r>
      <w:r>
        <w:t xml:space="preserve">(Liu et al. 2018)</w:t>
      </w:r>
      <w:r>
        <w:t xml:space="preserve">.</w:t>
      </w:r>
    </w:p>
    <w:p>
      <w:pPr>
        <w:pStyle w:val="BodyText"/>
      </w:pPr>
      <w:r>
        <w:t xml:space="preserve">To validate our RNA-seq analysis, I extracted total RNA from similar tissues as the DOE’s dataset (excluding callus, since it does not occur in natural growth). Then I run RT-qPCR analysis on the expression of</w:t>
      </w:r>
      <w:r>
        <w:t xml:space="preserve"> </w:t>
      </w:r>
      <w:r>
        <w:rPr>
          <w:iCs/>
          <w:i/>
        </w:rPr>
        <w:t xml:space="preserve">WOX1</w:t>
      </w:r>
      <w:r>
        <w:t xml:space="preserve"> </w:t>
      </w:r>
      <w:r>
        <w:t xml:space="preserve">with various normalizer genes. Since the expression profile of the different tissues vary massively, it’s difficult to find an appropriate normalizer gene with a similar expression level between the tissues. Despite that, I could still see the overall trend in which it does seemed that as the coefficient of variation (CV) got smaller, the results of the RT-qPCR become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results and in the RNA-seq analysis, the only tissue that shifted was shoot tip. The tissue is not well defined since is a combination of SAM, stem and leaves among other tissues and it is hard to isolate. Hence, the larg variability in the results can be explained by the resolution of the isolation of the tissue.</w:t>
      </w:r>
    </w:p>
    <w:p>
      <w:pPr>
        <w:pStyle w:val="BodyText"/>
      </w:pPr>
      <w:r>
        <w:t xml:space="preserve">In summary: the quest to achieve an in-planta transformation in trees is a huge challenge. In this work although I did not reach the final milestone of in-planta tree gene editing, still I hope that the work has closed part of the gap and will contribute to evoke de-novo shoot regeneration on a soil grown tree.</w:t>
      </w:r>
    </w:p>
    <w:p>
      <w:pPr>
        <w:pStyle w:val="BodyText"/>
      </w:pPr>
      <w:r>
        <w:t xml:space="preserve">Although our initial assumption was that it would be easier to transform poplar compared to apples, I didn’t take into account the influence of the different growth stages which I act upon. Perhaps with seedlings of PopAT I could get different results.</w:t>
      </w:r>
    </w:p>
    <w:bookmarkEnd w:id="157"/>
    <w:bookmarkEnd w:id="158"/>
    <w:bookmarkStart w:id="159" w:name="acknowledgements"/>
    <w:p>
      <w:pPr>
        <w:pStyle w:val="Heading1"/>
      </w:pPr>
      <w:r>
        <w:rPr>
          <w:rStyle w:val="SectionNumber"/>
        </w:rPr>
        <w:t xml:space="preserve">7</w:t>
      </w:r>
      <w:r>
        <w:tab/>
      </w:r>
      <w:r>
        <w:t xml:space="preserve">Acknowledgements</w:t>
      </w:r>
    </w:p>
    <w:bookmarkEnd w:id="159"/>
    <w:bookmarkStart w:id="176" w:name="supplementary-information"/>
    <w:p>
      <w:pPr>
        <w:pStyle w:val="Heading1"/>
      </w:pPr>
      <w:r>
        <w:rPr>
          <w:rStyle w:val="SectionNumber"/>
        </w:rPr>
        <w:t xml:space="preserve">8</w:t>
      </w:r>
      <w:r>
        <w:tab/>
      </w:r>
      <w:r>
        <w:t xml:space="preserve">Supplementary information</w:t>
      </w:r>
    </w:p>
    <w:p>
      <w:pPr>
        <w:pStyle w:val="FirstParagraph"/>
      </w:pPr>
      <w:hyperlink r:id="rId160">
        <w:r>
          <w:rPr>
            <w:rStyle w:val="Hyperlink"/>
          </w:rPr>
          <w:t xml:space="preserve">Analysis code link.</w:t>
        </w:r>
      </w:hyperlink>
    </w:p>
    <w:p>
      <w:pPr>
        <w:pStyle w:val="BodyText"/>
      </w:pPr>
      <w:r>
        <w:drawing>
          <wp:inline>
            <wp:extent cx="5334000" cy="995957"/>
            <wp:effectExtent b="0" l="0" r="0" t="0"/>
            <wp:docPr descr="Surgical removal of the axillary bud and injection of vector for de-novo shoot induction (Maher et al. 2020)" title="" id="162" name="Picture"/>
            <a:graphic>
              <a:graphicData uri="http://schemas.openxmlformats.org/drawingml/2006/picture">
                <pic:pic>
                  <pic:nvPicPr>
                    <pic:cNvPr descr="Bud%20excision.png" id="163" name="Picture"/>
                    <pic:cNvPicPr>
                      <a:picLocks noChangeArrowheads="1" noChangeAspect="1"/>
                    </pic:cNvPicPr>
                  </pic:nvPicPr>
                  <pic:blipFill>
                    <a:blip r:embed="rId161"/>
                    <a:stretch>
                      <a:fillRect/>
                    </a:stretch>
                  </pic:blipFill>
                  <pic:spPr bwMode="auto">
                    <a:xfrm>
                      <a:off x="0" y="0"/>
                      <a:ext cx="5334000" cy="995957"/>
                    </a:xfrm>
                    <a:prstGeom prst="rect">
                      <a:avLst/>
                    </a:prstGeom>
                    <a:noFill/>
                    <a:ln w="9525">
                      <a:noFill/>
                      <a:headEnd/>
                      <a:tailEnd/>
                    </a:ln>
                  </pic:spPr>
                </pic:pic>
              </a:graphicData>
            </a:graphic>
          </wp:inline>
        </w:drawing>
      </w:r>
      <w:r>
        <w:t xml:space="preserve"> </w:t>
      </w:r>
      <w:r>
        <w:drawing>
          <wp:inline>
            <wp:extent cx="5334000" cy="2433637"/>
            <wp:effectExtent b="0" l="0" r="0" t="0"/>
            <wp:docPr descr="Abnormal shoot regeneration formation as a result of DR over-expression (Maher et al. 2020)" title="" id="165" name="Picture"/>
            <a:graphic>
              <a:graphicData uri="http://schemas.openxmlformats.org/drawingml/2006/picture">
                <pic:pic>
                  <pic:nvPicPr>
                    <pic:cNvPr descr="Deform%20benthamiana%20PDS.png" id="166" name="Picture"/>
                    <pic:cNvPicPr>
                      <a:picLocks noChangeArrowheads="1" noChangeAspect="1"/>
                    </pic:cNvPicPr>
                  </pic:nvPicPr>
                  <pic:blipFill>
                    <a:blip r:embed="rId164"/>
                    <a:stretch>
                      <a:fillRect/>
                    </a:stretch>
                  </pic:blipFill>
                  <pic:spPr bwMode="auto">
                    <a:xfrm>
                      <a:off x="0" y="0"/>
                      <a:ext cx="5334000" cy="2433637"/>
                    </a:xfrm>
                    <a:prstGeom prst="rect">
                      <a:avLst/>
                    </a:prstGeom>
                    <a:noFill/>
                    <a:ln w="9525">
                      <a:noFill/>
                      <a:headEnd/>
                      <a:tailEnd/>
                    </a:ln>
                  </pic:spPr>
                </pic:pic>
              </a:graphicData>
            </a:graphic>
          </wp:inline>
        </w:drawing>
      </w:r>
      <w:r>
        <w:t xml:space="preserve"> </w:t>
      </w:r>
      <w:r>
        <w:drawing>
          <wp:inline>
            <wp:extent cx="5334000" cy="5424406"/>
            <wp:effectExtent b="0" l="0" r="0" t="0"/>
            <wp:docPr descr="Agrobacterium-mediated in-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68" name="Picture"/>
            <a:graphic>
              <a:graphicData uri="http://schemas.openxmlformats.org/drawingml/2006/picture">
                <pic:pic>
                  <pic:nvPicPr>
                    <pic:cNvPr descr="Pommelo%20transformation.png" id="169" name="Picture"/>
                    <pic:cNvPicPr>
                      <a:picLocks noChangeArrowheads="1" noChangeAspect="1"/>
                    </pic:cNvPicPr>
                  </pic:nvPicPr>
                  <pic:blipFill>
                    <a:blip r:embed="rId167"/>
                    <a:stretch>
                      <a:fillRect/>
                    </a:stretch>
                  </pic:blipFill>
                  <pic:spPr bwMode="auto">
                    <a:xfrm>
                      <a:off x="0" y="0"/>
                      <a:ext cx="5334000" cy="5424406"/>
                    </a:xfrm>
                    <a:prstGeom prst="rect">
                      <a:avLst/>
                    </a:prstGeom>
                    <a:noFill/>
                    <a:ln w="9525">
                      <a:noFill/>
                      <a:headEnd/>
                      <a:tailEnd/>
                    </a:ln>
                  </pic:spPr>
                </pic:pic>
              </a:graphicData>
            </a:graphic>
          </wp:inline>
        </w:drawing>
      </w:r>
      <w:r>
        <w:t xml:space="preserve"> </w:t>
      </w:r>
      <w:r>
        <w:t xml:space="preserve">****</w:t>
      </w:r>
      <w:r>
        <w:t xml:space="preserve"> </w:t>
      </w:r>
      <w:r>
        <w:t xml:space="preserve">## Protocols</w:t>
      </w:r>
    </w:p>
    <w:bookmarkStart w:id="171" w:name="gel-agarose-for-dna-electrophoresis"/>
    <w:p>
      <w:pPr>
        <w:pStyle w:val="Heading3"/>
      </w:pPr>
      <w:r>
        <w:rPr>
          <w:rStyle w:val="SectionNumber"/>
        </w:rPr>
        <w:t xml:space="preserve">8.0.1</w:t>
      </w:r>
      <w:r>
        <w:tab/>
      </w:r>
      <w:hyperlink r:id="rId170">
        <w:r>
          <w:rPr>
            <w:rStyle w:val="Hyperlink"/>
          </w:rPr>
          <w:t xml:space="preserve">Gel agarose for DNA electrophoresis</w:t>
        </w:r>
      </w:hyperlink>
    </w:p>
    <w:p>
      <w:pPr>
        <w:pStyle w:val="FirstParagraph"/>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11"/>
        </w:numPr>
        <w:pStyle w:val="Compact"/>
      </w:pPr>
      <w:r>
        <w:t xml:space="preserve">Tray + Comb (With enough places for samples + ladder)</w:t>
      </w:r>
    </w:p>
    <w:p>
      <w:pPr>
        <w:numPr>
          <w:ilvl w:val="0"/>
          <w:numId w:val="1011"/>
        </w:numPr>
        <w:pStyle w:val="Compact"/>
      </w:pPr>
      <w:r>
        <w:t xml:space="preserve">LE multi-purpose agarose (Usually 1-2%)</w:t>
      </w:r>
    </w:p>
    <w:p>
      <w:pPr>
        <w:numPr>
          <w:ilvl w:val="0"/>
          <w:numId w:val="1011"/>
        </w:numPr>
        <w:pStyle w:val="Compact"/>
      </w:pPr>
      <w:r>
        <w:t xml:space="preserve">TAE * 1 Buffer (volume depend on Container)</w:t>
      </w:r>
    </w:p>
    <w:p>
      <w:pPr>
        <w:numPr>
          <w:ilvl w:val="0"/>
          <w:numId w:val="1011"/>
        </w:numPr>
        <w:pStyle w:val="Compact"/>
      </w:pPr>
      <w:r>
        <w:t xml:space="preserve">Ethidium bromide solution (1 drop for every 50 ml of gel)</w:t>
      </w:r>
    </w:p>
    <w:p>
      <w:pPr>
        <w:numPr>
          <w:ilvl w:val="0"/>
          <w:numId w:val="1011"/>
        </w:numPr>
        <w:pStyle w:val="Compact"/>
      </w:pPr>
      <w:r>
        <w:t xml:space="preserve">loading dye (1 µL loading dye per 5 µL sample) *Taq ready mix already contain dye.</w:t>
      </w:r>
    </w:p>
    <w:p>
      <w:pPr>
        <w:pStyle w:val="FirstParagraph"/>
      </w:pPr>
      <w:r>
        <w:t xml:space="preserve">Procedure:</w:t>
      </w:r>
    </w:p>
    <w:p>
      <w:pPr>
        <w:pStyle w:val="BodyText"/>
      </w:pPr>
      <w:r>
        <w:rPr>
          <w:bCs/>
          <w:b/>
        </w:rPr>
        <w:t xml:space="preserve">Gel mixture, loading and running</w:t>
      </w:r>
    </w:p>
    <w:p>
      <w:pPr>
        <w:numPr>
          <w:ilvl w:val="0"/>
          <w:numId w:val="1012"/>
        </w:numPr>
        <w:pStyle w:val="Compact"/>
      </w:pPr>
      <w:r>
        <w:t xml:space="preserve">Measure agarose by weight.</w:t>
      </w:r>
    </w:p>
    <w:p>
      <w:pPr>
        <w:numPr>
          <w:ilvl w:val="0"/>
          <w:numId w:val="1012"/>
        </w:numPr>
        <w:pStyle w:val="Compact"/>
      </w:pPr>
      <w:r>
        <w:t xml:space="preserve">Dissolves in TAE buffer.</w:t>
      </w:r>
    </w:p>
    <w:p>
      <w:pPr>
        <w:numPr>
          <w:ilvl w:val="0"/>
          <w:numId w:val="1012"/>
        </w:numPr>
        <w:pStyle w:val="Compact"/>
      </w:pPr>
      <w:r>
        <w:t xml:space="preserve">Microwave until fully dissolved.</w:t>
      </w:r>
    </w:p>
    <w:p>
      <w:pPr>
        <w:numPr>
          <w:ilvl w:val="0"/>
          <w:numId w:val="1012"/>
        </w:numPr>
        <w:pStyle w:val="Compact"/>
      </w:pPr>
      <w:r>
        <w:t xml:space="preserve">Add ethidium bromide.</w:t>
      </w:r>
    </w:p>
    <w:p>
      <w:pPr>
        <w:numPr>
          <w:ilvl w:val="0"/>
          <w:numId w:val="1012"/>
        </w:numPr>
        <w:pStyle w:val="Compact"/>
      </w:pPr>
      <w:r>
        <w:t xml:space="preserve">Pour into tray + comb.</w:t>
      </w:r>
    </w:p>
    <w:p>
      <w:pPr>
        <w:numPr>
          <w:ilvl w:val="0"/>
          <w:numId w:val="1012"/>
        </w:numPr>
        <w:pStyle w:val="Compact"/>
      </w:pPr>
      <w:r>
        <w:t xml:space="preserve">Wait until the gel polymerizes.</w:t>
      </w:r>
    </w:p>
    <w:p>
      <w:pPr>
        <w:numPr>
          <w:ilvl w:val="0"/>
          <w:numId w:val="1012"/>
        </w:numPr>
        <w:pStyle w:val="Compact"/>
      </w:pPr>
      <w:r>
        <w:t xml:space="preserve">Carefully remove the comb to expose the sample wells.</w:t>
      </w:r>
    </w:p>
    <w:p>
      <w:pPr>
        <w:numPr>
          <w:ilvl w:val="0"/>
          <w:numId w:val="1012"/>
        </w:numPr>
        <w:pStyle w:val="Compact"/>
      </w:pPr>
      <w:r>
        <w:t xml:space="preserve">Place the gel into the tank.</w:t>
      </w:r>
    </w:p>
    <w:p>
      <w:pPr>
        <w:numPr>
          <w:ilvl w:val="0"/>
          <w:numId w:val="1012"/>
        </w:numPr>
        <w:pStyle w:val="Compact"/>
      </w:pPr>
      <w:r>
        <w:t xml:space="preserve">Pour TAE buffer into the tank high enough to cover the gel.</w:t>
      </w:r>
    </w:p>
    <w:p>
      <w:pPr>
        <w:numPr>
          <w:ilvl w:val="0"/>
          <w:numId w:val="1012"/>
        </w:numPr>
        <w:pStyle w:val="Compact"/>
      </w:pPr>
      <w:r>
        <w:t xml:space="preserve">Add loading dye (if necessary).</w:t>
      </w:r>
    </w:p>
    <w:p>
      <w:pPr>
        <w:numPr>
          <w:ilvl w:val="0"/>
          <w:numId w:val="1012"/>
        </w:numPr>
        <w:pStyle w:val="Compact"/>
      </w:pPr>
      <w:r>
        <w:t xml:space="preserve">load DNA sample.</w:t>
      </w:r>
    </w:p>
    <w:p>
      <w:pPr>
        <w:numPr>
          <w:ilvl w:val="0"/>
          <w:numId w:val="1012"/>
        </w:numPr>
        <w:pStyle w:val="Compact"/>
      </w:pPr>
      <w:r>
        <w:t xml:space="preserve">Connect the tank to the power supply.</w:t>
      </w:r>
    </w:p>
    <w:p>
      <w:pPr>
        <w:numPr>
          <w:ilvl w:val="0"/>
          <w:numId w:val="1012"/>
        </w:numPr>
        <w:pStyle w:val="Compact"/>
      </w:pPr>
      <w:r>
        <w:t xml:space="preserve">Set the voltage at ~110 V for 30 minutes *The passage of current will produce bubbles at the electrodes.</w:t>
      </w:r>
    </w:p>
    <w:bookmarkEnd w:id="171"/>
    <w:bookmarkStart w:id="172" w:name="Xdb766cfd0ad3aa99d8c9f81ef205199b1d569c3"/>
    <w:p>
      <w:pPr>
        <w:pStyle w:val="Heading3"/>
      </w:pPr>
      <w:r>
        <w:rPr>
          <w:rStyle w:val="SectionNumber"/>
        </w:rPr>
        <w:t xml:space="preserve">8.0.2</w:t>
      </w:r>
      <w:r>
        <w:tab/>
      </w:r>
      <w:r>
        <w:t xml:space="preserve">E.coli Heat-shock competent preperation</w:t>
      </w:r>
      <w:r>
        <w:t xml:space="preserve"> </w:t>
      </w:r>
      <w:r>
        <w:t xml:space="preserve">(Chang et al. 2017)</w:t>
      </w:r>
    </w:p>
    <w:p>
      <w:pPr>
        <w:pStyle w:val="FirstParagraph"/>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13"/>
        </w:numPr>
        <w:pStyle w:val="Compact"/>
      </w:pPr>
      <w:r>
        <w:t xml:space="preserve">Liquid nitrogen</w:t>
      </w:r>
    </w:p>
    <w:p>
      <w:pPr>
        <w:numPr>
          <w:ilvl w:val="0"/>
          <w:numId w:val="1013"/>
        </w:numPr>
        <w:pStyle w:val="Compact"/>
      </w:pPr>
      <w:r>
        <w:t xml:space="preserve">ice</w:t>
      </w:r>
    </w:p>
    <w:p>
      <w:pPr>
        <w:numPr>
          <w:ilvl w:val="0"/>
          <w:numId w:val="1013"/>
        </w:numPr>
        <w:pStyle w:val="Compact"/>
      </w:pPr>
      <w:r>
        <w:t xml:space="preserve">LB with sutable antibiotics</w:t>
      </w:r>
    </w:p>
    <w:p>
      <w:pPr>
        <w:numPr>
          <w:ilvl w:val="0"/>
          <w:numId w:val="1013"/>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rPr>
          <w:bCs/>
          <w:b/>
        </w:rPr>
        <w:t xml:space="preserve">Pre-Culture</w:t>
      </w:r>
    </w:p>
    <w:p>
      <w:pPr>
        <w:numPr>
          <w:ilvl w:val="0"/>
          <w:numId w:val="1014"/>
        </w:numPr>
        <w:pStyle w:val="Compact"/>
      </w:pPr>
      <w:r>
        <w:t xml:space="preserve">Pick single colony into a 4 ml LB (antibiotick if needed)</w:t>
      </w:r>
    </w:p>
    <w:p>
      <w:pPr>
        <w:numPr>
          <w:ilvl w:val="0"/>
          <w:numId w:val="1014"/>
        </w:numPr>
        <w:pStyle w:val="Compact"/>
      </w:pPr>
      <w:r>
        <w:t xml:space="preserve">Grow at</w:t>
      </w:r>
      <w:r>
        <w:t xml:space="preserve"> </w:t>
      </w:r>
      <m:oMath>
        <m:sSup>
          <m:e>
            <m:r>
              <m:t>37</m:t>
            </m:r>
          </m:e>
          <m:sup>
            <m:r>
              <m:t>o</m:t>
            </m:r>
          </m:sup>
        </m:sSup>
        <m:r>
          <m:t>C</m:t>
        </m:r>
      </m:oMath>
      <w:r>
        <w:t xml:space="preserve">, 150 rpm overnight culture</w:t>
      </w:r>
    </w:p>
    <w:p>
      <w:pPr>
        <w:pStyle w:val="FirstParagraph"/>
      </w:pPr>
      <w:r>
        <w:rPr>
          <w:bCs/>
          <w:b/>
        </w:rPr>
        <w:t xml:space="preserve">Culture</w:t>
      </w:r>
    </w:p>
    <w:p>
      <w:pPr>
        <w:numPr>
          <w:ilvl w:val="0"/>
          <w:numId w:val="1015"/>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5"/>
        </w:numPr>
        <w:pStyle w:val="Compact"/>
      </w:pPr>
      <w:r>
        <w:t xml:space="preserve">Chill culture on ice for 5-10 min.</w:t>
      </w:r>
    </w:p>
    <w:p>
      <w:pPr>
        <w:numPr>
          <w:ilvl w:val="0"/>
          <w:numId w:val="1015"/>
        </w:numPr>
        <w:pStyle w:val="Compact"/>
      </w:pPr>
      <w:r>
        <w:t xml:space="preserve">transfer maximum 30 ml of the colture to a 50 ml tube.</w:t>
      </w:r>
    </w:p>
    <w:p>
      <w:pPr>
        <w:numPr>
          <w:ilvl w:val="0"/>
          <w:numId w:val="1015"/>
        </w:numPr>
        <w:pStyle w:val="Compact"/>
      </w:pPr>
      <w:r>
        <w:t xml:space="preserve">Centrifuge for 10 min at 5000 rpm in</w:t>
      </w:r>
      <w:r>
        <w:t xml:space="preserve"> </w:t>
      </w:r>
      <m:oMath>
        <m:sSup>
          <m:e>
            <m:r>
              <m:t>4</m:t>
            </m:r>
          </m:e>
          <m:sup>
            <m:r>
              <m:t>o</m:t>
            </m:r>
          </m:sup>
        </m:sSup>
        <m:r>
          <m:t>C</m:t>
        </m:r>
      </m:oMath>
      <w:r>
        <w:t xml:space="preserve">.</w:t>
      </w:r>
    </w:p>
    <w:p>
      <w:pPr>
        <w:numPr>
          <w:ilvl w:val="0"/>
          <w:numId w:val="1015"/>
        </w:numPr>
        <w:pStyle w:val="Compact"/>
      </w:pPr>
      <w:r>
        <w:t xml:space="preserve">Discard the supernated and let the tube to dry inverted for 1 min.</w:t>
      </w:r>
    </w:p>
    <w:p>
      <w:pPr>
        <w:numPr>
          <w:ilvl w:val="0"/>
          <w:numId w:val="1015"/>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5"/>
        </w:numPr>
        <w:pStyle w:val="Compact"/>
      </w:pPr>
      <w:r>
        <w:t xml:space="preserve">Aliquot 100</w:t>
      </w:r>
      <w:r>
        <w:t xml:space="preserve"> </w:t>
      </w:r>
      <m:oMath>
        <m:r>
          <m:t>μ</m:t>
        </m:r>
        <m:r>
          <m:t>l</m:t>
        </m:r>
      </m:oMath>
      <w:r>
        <w:t xml:space="preserve"> </w:t>
      </w:r>
      <w:r>
        <w:t xml:space="preserve">and freeze directly in liquid nitrogen.</w:t>
      </w:r>
    </w:p>
    <w:bookmarkEnd w:id="172"/>
    <w:bookmarkStart w:id="173" w:name="X3acddd90ca0da57082bf993cdce03ca9ab9f1d8"/>
    <w:p>
      <w:pPr>
        <w:pStyle w:val="Heading3"/>
      </w:pPr>
      <w:r>
        <w:rPr>
          <w:rStyle w:val="SectionNumber"/>
        </w:rPr>
        <w:t xml:space="preserve">8.0.3</w:t>
      </w:r>
      <w:r>
        <w:tab/>
      </w:r>
      <w:hyperlink r:id="rId71">
        <w:r>
          <w:rPr>
            <w:rStyle w:val="Hyperlink"/>
          </w:rPr>
          <w:t xml:space="preserve">E.coli heat-shock transformation</w:t>
        </w:r>
      </w:hyperlink>
      <w:r>
        <w:t xml:space="preserve"> </w:t>
      </w:r>
      <w:r>
        <w:t xml:space="preserve">(Chang et al. 2017)</w:t>
      </w:r>
    </w:p>
    <w:p>
      <w:pPr>
        <w:pStyle w:val="FirstParagraph"/>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6"/>
        </w:numPr>
        <w:pStyle w:val="Compact"/>
      </w:pPr>
      <w:r>
        <w:t xml:space="preserve">Competent E.coli cells</w:t>
      </w:r>
    </w:p>
    <w:p>
      <w:pPr>
        <w:numPr>
          <w:ilvl w:val="0"/>
          <w:numId w:val="1016"/>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6"/>
        </w:numPr>
        <w:pStyle w:val="Compact"/>
      </w:pPr>
      <w:r>
        <w:t xml:space="preserve">50 ng of circular DNA</w:t>
      </w:r>
    </w:p>
    <w:p>
      <w:pPr>
        <w:numPr>
          <w:ilvl w:val="0"/>
          <w:numId w:val="1016"/>
        </w:numPr>
        <w:pStyle w:val="Compact"/>
      </w:pPr>
      <w:r>
        <w:t xml:space="preserve">Ice</w:t>
      </w:r>
    </w:p>
    <w:p>
      <w:pPr>
        <w:numPr>
          <w:ilvl w:val="0"/>
          <w:numId w:val="1016"/>
        </w:numPr>
        <w:pStyle w:val="Compact"/>
      </w:pPr>
      <w:r>
        <w:t xml:space="preserve">Water bath at</w:t>
      </w:r>
      <w:r>
        <w:t xml:space="preserve"> </w:t>
      </w:r>
      <m:oMath>
        <m:sSup>
          <m:e>
            <m:r>
              <m:t>42</m:t>
            </m:r>
          </m:e>
          <m:sup>
            <m:r>
              <m:t>o</m:t>
            </m:r>
          </m:sup>
        </m:sSup>
        <m:r>
          <m:t>C</m:t>
        </m:r>
      </m:oMath>
    </w:p>
    <w:p>
      <w:pPr>
        <w:numPr>
          <w:ilvl w:val="0"/>
          <w:numId w:val="1016"/>
        </w:numPr>
        <w:pStyle w:val="Compact"/>
      </w:pPr>
      <w:r>
        <w:t xml:space="preserve">1.5 ml tube per sample (Eppendorf or similar)</w:t>
      </w:r>
    </w:p>
    <w:p>
      <w:pPr>
        <w:numPr>
          <w:ilvl w:val="0"/>
          <w:numId w:val="1016"/>
        </w:numPr>
        <w:pStyle w:val="Compact"/>
      </w:pPr>
      <w:r>
        <w:t xml:space="preserve">1 ml of LB per sample (with no antibiotic added)</w:t>
      </w:r>
    </w:p>
    <w:p>
      <w:pPr>
        <w:numPr>
          <w:ilvl w:val="0"/>
          <w:numId w:val="1016"/>
        </w:numPr>
        <w:pStyle w:val="Compact"/>
      </w:pPr>
      <w:r>
        <w:t xml:space="preserve">LB + antibiotics plates 2 or 3 per sample for dilutions</w:t>
      </w:r>
    </w:p>
    <w:p>
      <w:pPr>
        <w:numPr>
          <w:ilvl w:val="0"/>
          <w:numId w:val="1016"/>
        </w:numPr>
        <w:pStyle w:val="Compact"/>
      </w:pPr>
      <w:r>
        <w:t xml:space="preserve">Drigalski spatula</w:t>
      </w:r>
    </w:p>
    <w:p>
      <w:pPr>
        <w:pStyle w:val="FirstParagraph"/>
      </w:pPr>
      <w:r>
        <w:t xml:space="preserve">Procedure:</w:t>
      </w:r>
    </w:p>
    <w:p>
      <w:pPr>
        <w:pStyle w:val="BodyText"/>
      </w:pPr>
      <w:r>
        <w:rPr>
          <w:bCs/>
          <w:b/>
        </w:rPr>
        <w:t xml:space="preserve">Heat shock</w:t>
      </w:r>
    </w:p>
    <w:p>
      <w:pPr>
        <w:numPr>
          <w:ilvl w:val="0"/>
          <w:numId w:val="1017"/>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7"/>
        </w:numPr>
        <w:pStyle w:val="Compact"/>
      </w:pPr>
      <w:r>
        <w:t xml:space="preserve">Turn on water bath to</w:t>
      </w:r>
      <w:r>
        <w:t xml:space="preserve"> </w:t>
      </w:r>
      <m:oMath>
        <m:sSup>
          <m:e>
            <m:r>
              <m:t>42</m:t>
            </m:r>
          </m:e>
          <m:sup>
            <m:r>
              <m:t>o</m:t>
            </m:r>
          </m:sup>
        </m:sSup>
        <m:r>
          <m:t>C</m:t>
        </m:r>
      </m:oMath>
      <w:r>
        <w:t xml:space="preserve">.</w:t>
      </w:r>
    </w:p>
    <w:p>
      <w:pPr>
        <w:numPr>
          <w:ilvl w:val="0"/>
          <w:numId w:val="1017"/>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7"/>
        </w:numPr>
        <w:pStyle w:val="Compact"/>
      </w:pPr>
      <w:r>
        <w:t xml:space="preserve">Keep tubes on ice.</w:t>
      </w:r>
    </w:p>
    <w:p>
      <w:pPr>
        <w:numPr>
          <w:ilvl w:val="0"/>
          <w:numId w:val="1017"/>
        </w:numPr>
        <w:pStyle w:val="Compact"/>
      </w:pPr>
      <w:r>
        <w:t xml:space="preserve">Add 50 ng of circular DNA into E.coli cells. Incubate on ice for 20 min. to thaw competent cells.</w:t>
      </w:r>
    </w:p>
    <w:p>
      <w:pPr>
        <w:numPr>
          <w:ilvl w:val="0"/>
          <w:numId w:val="1017"/>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7"/>
        </w:numPr>
        <w:pStyle w:val="Compact"/>
      </w:pPr>
      <w:r>
        <w:t xml:space="preserve">Put tubes back on ice for 5 minutes to reduce damage to the E.coli cells.</w:t>
      </w:r>
    </w:p>
    <w:p>
      <w:pPr>
        <w:numPr>
          <w:ilvl w:val="0"/>
          <w:numId w:val="1017"/>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7"/>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7"/>
        </w:numPr>
        <w:pStyle w:val="Compact"/>
      </w:pPr>
      <w:r>
        <w:t xml:space="preserve">Pick colonies about 12-16 hours later.</w:t>
      </w:r>
    </w:p>
    <w:bookmarkEnd w:id="173"/>
    <w:bookmarkStart w:id="174" w:name="ctab-protocol-porebski1997"/>
    <w:p>
      <w:pPr>
        <w:pStyle w:val="Heading3"/>
      </w:pPr>
      <w:r>
        <w:rPr>
          <w:rStyle w:val="SectionNumber"/>
        </w:rPr>
        <w:t xml:space="preserve">8.0.4</w:t>
      </w:r>
      <w:r>
        <w:tab/>
      </w:r>
      <w:r>
        <w:t xml:space="preserve">CTAB protocol</w:t>
      </w:r>
      <w:r>
        <w:t xml:space="preserve"> </w:t>
      </w:r>
      <w:r>
        <w:t xml:space="preserve">(Porebski et al. 1997)</w:t>
      </w:r>
    </w:p>
    <w:p>
      <w:pPr>
        <w:pStyle w:val="FirstParagraph"/>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8"/>
        </w:numPr>
        <w:pStyle w:val="Compact"/>
      </w:pPr>
      <w:r>
        <w:t xml:space="preserve">Liquid nitrogen</w:t>
      </w:r>
    </w:p>
    <w:p>
      <w:pPr>
        <w:numPr>
          <w:ilvl w:val="0"/>
          <w:numId w:val="1018"/>
        </w:numPr>
        <w:pStyle w:val="Compact"/>
      </w:pPr>
      <w:r>
        <w:t xml:space="preserve">Ice</w:t>
      </w:r>
    </w:p>
    <w:p>
      <w:pPr>
        <w:numPr>
          <w:ilvl w:val="0"/>
          <w:numId w:val="1018"/>
        </w:numPr>
        <w:pStyle w:val="Compact"/>
      </w:pPr>
      <w:r>
        <w:t xml:space="preserve">Pestles</w:t>
      </w:r>
    </w:p>
    <w:p>
      <w:pPr>
        <w:numPr>
          <w:ilvl w:val="0"/>
          <w:numId w:val="1018"/>
        </w:numPr>
        <w:pStyle w:val="Compact"/>
      </w:pPr>
      <w:r>
        <w:t xml:space="preserve">Stirer</w:t>
      </w:r>
    </w:p>
    <w:p>
      <w:pPr>
        <w:numPr>
          <w:ilvl w:val="0"/>
          <w:numId w:val="1018"/>
        </w:numPr>
        <w:pStyle w:val="Compact"/>
      </w:pPr>
      <m:oMath>
        <m:sSup>
          <m:e>
            <m:r>
              <m:t>65</m:t>
            </m:r>
          </m:e>
          <m:sup>
            <m:r>
              <m:t>o</m:t>
            </m:r>
          </m:sup>
        </m:sSup>
        <m:r>
          <m:t>C</m:t>
        </m:r>
      </m:oMath>
      <w:r>
        <w:t xml:space="preserve"> </w:t>
      </w:r>
      <w:r>
        <w:t xml:space="preserve">Bath</w:t>
      </w:r>
    </w:p>
    <w:p>
      <w:pPr>
        <w:numPr>
          <w:ilvl w:val="0"/>
          <w:numId w:val="1018"/>
        </w:numPr>
        <w:pStyle w:val="Compact"/>
      </w:pPr>
      <w:r>
        <w:t xml:space="preserve">Centrifuge</w:t>
      </w:r>
    </w:p>
    <w:p>
      <w:pPr>
        <w:numPr>
          <w:ilvl w:val="0"/>
          <w:numId w:val="1018"/>
        </w:numPr>
        <w:pStyle w:val="Compact"/>
      </w:pPr>
      <w:r>
        <w:t xml:space="preserve">CTAB buffer</w:t>
      </w:r>
    </w:p>
    <w:p>
      <w:pPr>
        <w:numPr>
          <w:ilvl w:val="0"/>
          <w:numId w:val="1018"/>
        </w:numPr>
        <w:pStyle w:val="Compact"/>
      </w:pPr>
      <w:r>
        <w:t xml:space="preserve">2% cetyl trimethylammonium bromide, 1% polyvinyl pyrrolidone,100 mM Tris-HCl, 1.4 M NaCl, 20 mM EDTA</w:t>
      </w:r>
    </w:p>
    <w:p>
      <w:pPr>
        <w:numPr>
          <w:ilvl w:val="0"/>
          <w:numId w:val="1018"/>
        </w:numPr>
        <w:pStyle w:val="Compact"/>
      </w:pPr>
      <w:r>
        <w:t xml:space="preserve">2-Mercaptoethanol</w:t>
      </w:r>
    </w:p>
    <w:p>
      <w:pPr>
        <w:numPr>
          <w:ilvl w:val="0"/>
          <w:numId w:val="1018"/>
        </w:numPr>
        <w:pStyle w:val="Compact"/>
      </w:pPr>
      <w:r>
        <w:t xml:space="preserve">Chloroform octanol (1:24)</w:t>
      </w:r>
    </w:p>
    <w:p>
      <w:pPr>
        <w:numPr>
          <w:ilvl w:val="0"/>
          <w:numId w:val="1018"/>
        </w:numPr>
        <w:pStyle w:val="Compact"/>
      </w:pPr>
      <w:r>
        <w:t xml:space="preserve">Sodium acetate (NaOAc)</w:t>
      </w:r>
    </w:p>
    <w:p>
      <w:pPr>
        <w:numPr>
          <w:ilvl w:val="0"/>
          <w:numId w:val="1018"/>
        </w:numPr>
        <w:pStyle w:val="Compact"/>
      </w:pPr>
      <w:r>
        <w:t xml:space="preserve">100% Ethanol</w:t>
      </w:r>
    </w:p>
    <w:p>
      <w:pPr>
        <w:numPr>
          <w:ilvl w:val="0"/>
          <w:numId w:val="1018"/>
        </w:numPr>
        <w:pStyle w:val="Compact"/>
      </w:pPr>
      <w:r>
        <w:t xml:space="preserve">70% Ethanol</w:t>
      </w:r>
    </w:p>
    <w:p>
      <w:pPr>
        <w:pStyle w:val="FirstParagraph"/>
      </w:pPr>
      <w:r>
        <w:t xml:space="preserve">Procedure:</w:t>
      </w:r>
    </w:p>
    <w:p>
      <w:pPr>
        <w:numPr>
          <w:ilvl w:val="0"/>
          <w:numId w:val="1019"/>
        </w:numPr>
        <w:pStyle w:val="Compact"/>
      </w:pPr>
      <w:r>
        <w:t xml:space="preserve">Grind ~200 mg of plant tissue to a fine paste.</w:t>
      </w:r>
    </w:p>
    <w:p>
      <w:pPr>
        <w:numPr>
          <w:ilvl w:val="0"/>
          <w:numId w:val="1019"/>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9"/>
        </w:numPr>
        <w:pStyle w:val="Compact"/>
      </w:pPr>
      <w:r>
        <w:t xml:space="preserve">Vortex.</w:t>
      </w:r>
    </w:p>
    <w:p>
      <w:pPr>
        <w:numPr>
          <w:ilvl w:val="0"/>
          <w:numId w:val="1019"/>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9"/>
        </w:numPr>
        <w:pStyle w:val="Compact"/>
      </w:pPr>
      <w:r>
        <w:t xml:space="preserve">Chill on ice.</w:t>
      </w:r>
    </w:p>
    <w:p>
      <w:pPr>
        <w:numPr>
          <w:ilvl w:val="0"/>
          <w:numId w:val="1019"/>
        </w:numPr>
        <w:pStyle w:val="Compact"/>
      </w:pPr>
      <w:r>
        <w:t xml:space="preserve">Add 700ul Chloroform octanol (1:24).</w:t>
      </w:r>
    </w:p>
    <w:p>
      <w:pPr>
        <w:numPr>
          <w:ilvl w:val="0"/>
          <w:numId w:val="1019"/>
        </w:numPr>
        <w:pStyle w:val="Compact"/>
      </w:pPr>
      <w:r>
        <w:t xml:space="preserve">Vortex.</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(~550-600</w:t>
      </w:r>
      <w:r>
        <w:t xml:space="preserve"> </w:t>
      </w:r>
      <m:oMath>
        <m:r>
          <m:t>μ</m:t>
        </m:r>
        <m:r>
          <m:t>l</m:t>
        </m:r>
      </m:oMath>
      <w:r>
        <w:t xml:space="preserve">).</w:t>
      </w:r>
    </w:p>
    <w:p>
      <w:pPr>
        <w:numPr>
          <w:ilvl w:val="0"/>
          <w:numId w:val="1019"/>
        </w:numPr>
        <w:pStyle w:val="Compact"/>
      </w:pPr>
      <w:r>
        <w:t xml:space="preserve">Add 400</w:t>
      </w:r>
      <w:r>
        <w:t xml:space="preserve"> </w:t>
      </w:r>
      <m:oMath>
        <m:r>
          <m:t>μ</m:t>
        </m:r>
        <m:r>
          <m:t>l</m:t>
        </m:r>
      </m:oMath>
      <w:r>
        <w:t xml:space="preserve"> </w:t>
      </w:r>
      <w:r>
        <w:t xml:space="preserve">Chloroform octanol (1:24).</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(~350</w:t>
      </w:r>
      <w:r>
        <w:t xml:space="preserve"> </w:t>
      </w:r>
      <m:oMath>
        <m:r>
          <m:t>μ</m:t>
        </m:r>
        <m:r>
          <m:t>l</m:t>
        </m:r>
      </m:oMath>
      <w:r>
        <w:t xml:space="preserve">).</w:t>
      </w:r>
    </w:p>
    <w:p>
      <w:pPr>
        <w:numPr>
          <w:ilvl w:val="0"/>
          <w:numId w:val="1019"/>
        </w:numPr>
        <w:pStyle w:val="Compact"/>
      </w:pPr>
      <w:r>
        <w:t xml:space="preserve">Add 35</w:t>
      </w:r>
      <w:r>
        <w:t xml:space="preserve"> </w:t>
      </w:r>
      <m:oMath>
        <m:r>
          <m:t>μ</m:t>
        </m:r>
        <m:r>
          <m:t>l</m:t>
        </m:r>
      </m:oMath>
      <w:r>
        <w:t xml:space="preserve"> </w:t>
      </w:r>
      <w:r>
        <w:t xml:space="preserve">Sodium acetate (NaOAc), (X0.1 of sample volume).</w:t>
      </w:r>
    </w:p>
    <w:p>
      <w:pPr>
        <w:numPr>
          <w:ilvl w:val="0"/>
          <w:numId w:val="1019"/>
        </w:numPr>
        <w:pStyle w:val="Compact"/>
      </w:pPr>
      <w:r>
        <w:t xml:space="preserve">Add 875</w:t>
      </w:r>
      <w:r>
        <w:t xml:space="preserve"> </w:t>
      </w:r>
      <m:oMath>
        <m:r>
          <m:t>μ</m:t>
        </m:r>
        <m:r>
          <m:t>l</m:t>
        </m:r>
      </m:oMath>
      <w:r>
        <w:t xml:space="preserve"> </w:t>
      </w:r>
      <w:r>
        <w:t xml:space="preserve">100% Ethanol, (X2.5 sample volume).</w:t>
      </w:r>
    </w:p>
    <w:p>
      <w:pPr>
        <w:numPr>
          <w:ilvl w:val="0"/>
          <w:numId w:val="1019"/>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Add 1 ml 70% Ethanol.</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Air dry the pellet, invert on paper towel.</w:t>
      </w:r>
    </w:p>
    <w:p>
      <w:pPr>
        <w:numPr>
          <w:ilvl w:val="0"/>
          <w:numId w:val="1019"/>
        </w:numPr>
        <w:pStyle w:val="Compact"/>
      </w:pPr>
      <w:r>
        <w:t xml:space="preserve">Resuspend the DNA in 50</w:t>
      </w:r>
      <w:r>
        <w:t xml:space="preserve"> </w:t>
      </w:r>
      <m:oMath>
        <m:r>
          <m:t>μ</m:t>
        </m:r>
        <m:r>
          <m:t>l</m:t>
        </m:r>
      </m:oMath>
      <w:r>
        <w:t xml:space="preserve"> </w:t>
      </w:r>
      <w:r>
        <w:t xml:space="preserve">sterile DNase free water.</w:t>
      </w:r>
    </w:p>
    <w:bookmarkEnd w:id="174"/>
    <w:bookmarkStart w:id="175" w:name="tri-reagent-protocol"/>
    <w:p>
      <w:pPr>
        <w:pStyle w:val="Heading3"/>
      </w:pPr>
      <w:r>
        <w:rPr>
          <w:rStyle w:val="SectionNumber"/>
        </w:rPr>
        <w:t xml:space="preserve">8.0.5</w:t>
      </w:r>
      <w:r>
        <w:tab/>
      </w:r>
      <w:r>
        <w:t xml:space="preserve">TRI Reagent® Protocol</w:t>
      </w:r>
    </w:p>
    <w:p>
      <w:pPr>
        <w:pStyle w:val="FirstParagraph"/>
      </w:pPr>
      <w:r>
        <w:t xml:space="preserve">Introduction:</w:t>
      </w:r>
    </w:p>
    <w:p>
      <w:pPr>
        <w:pStyle w:val="BodyText"/>
      </w:pPr>
      <w:r>
        <w:t xml:space="preserve">TRI Reagent® solution (also sold as TRIzol) is a mixture of a mixture of guanidine thiocyanate and phenol in a monophase solution that is used for the isolation of DNA, RNA and protein from biological samples of human, animal, plant, yeast, bacteria, and virus. It inhibits RNase activity. TRI Reagent® is used to homogenize the biological sample from which RNA, DNA or proteins are extracted.</w:t>
      </w:r>
    </w:p>
    <w:p>
      <w:pPr>
        <w:pStyle w:val="BodyText"/>
      </w:pPr>
      <w:r>
        <w:t xml:space="preserve">Materials:</w:t>
      </w:r>
    </w:p>
    <w:p>
      <w:pPr>
        <w:numPr>
          <w:ilvl w:val="0"/>
          <w:numId w:val="1020"/>
        </w:numPr>
        <w:pStyle w:val="Compact"/>
      </w:pPr>
      <w:r>
        <w:t xml:space="preserve">Liquid nitrogen</w:t>
      </w:r>
    </w:p>
    <w:p>
      <w:pPr>
        <w:numPr>
          <w:ilvl w:val="0"/>
          <w:numId w:val="1020"/>
        </w:numPr>
        <w:pStyle w:val="Compact"/>
      </w:pPr>
      <w:r>
        <w:t xml:space="preserve">Pestles</w:t>
      </w:r>
    </w:p>
    <w:p>
      <w:pPr>
        <w:numPr>
          <w:ilvl w:val="0"/>
          <w:numId w:val="1020"/>
        </w:numPr>
        <w:pStyle w:val="Compact"/>
      </w:pPr>
      <w:r>
        <w:t xml:space="preserve">Centrifuge</w:t>
      </w:r>
    </w:p>
    <w:p>
      <w:pPr>
        <w:numPr>
          <w:ilvl w:val="0"/>
          <w:numId w:val="1020"/>
        </w:numPr>
        <w:pStyle w:val="Compact"/>
      </w:pPr>
      <w:r>
        <w:t xml:space="preserve">TRI Reagent®</w:t>
      </w:r>
    </w:p>
    <w:p>
      <w:pPr>
        <w:numPr>
          <w:ilvl w:val="0"/>
          <w:numId w:val="1020"/>
        </w:numPr>
        <w:pStyle w:val="Compact"/>
      </w:pPr>
      <w:r>
        <w:t xml:space="preserve">Chloroform</w:t>
      </w:r>
    </w:p>
    <w:p>
      <w:pPr>
        <w:numPr>
          <w:ilvl w:val="0"/>
          <w:numId w:val="1020"/>
        </w:numPr>
        <w:pStyle w:val="Compact"/>
      </w:pPr>
      <w:r>
        <w:t xml:space="preserve">75% Ethanol</w:t>
      </w:r>
    </w:p>
    <w:p>
      <w:pPr>
        <w:pStyle w:val="FirstParagraph"/>
      </w:pPr>
      <w:r>
        <w:t xml:space="preserve">Procedure:</w:t>
      </w:r>
    </w:p>
    <w:p>
      <w:pPr>
        <w:numPr>
          <w:ilvl w:val="0"/>
          <w:numId w:val="1021"/>
        </w:numPr>
        <w:pStyle w:val="Compact"/>
      </w:pPr>
      <w:r>
        <w:t xml:space="preserve">Grind plant tissue to a fine paste with TRI Reagent (1 ml per 50–100 mg of tissue).</w:t>
      </w:r>
    </w:p>
    <w:p>
      <w:pPr>
        <w:numPr>
          <w:ilvl w:val="0"/>
          <w:numId w:val="1021"/>
        </w:numPr>
        <w:pStyle w:val="Compact"/>
      </w:pPr>
      <w:r>
        <w:t xml:space="preserve">Incubation 5 minutes at room temperature.</w:t>
      </w:r>
    </w:p>
    <w:p>
      <w:pPr>
        <w:numPr>
          <w:ilvl w:val="0"/>
          <w:numId w:val="1021"/>
        </w:numPr>
        <w:pStyle w:val="Compact"/>
      </w:pPr>
      <w:r>
        <w:t xml:space="preserve">Add 200</w:t>
      </w:r>
      <w:r>
        <w:t xml:space="preserve"> </w:t>
      </w:r>
      <m:oMath>
        <m:r>
          <m:t>μ</m:t>
        </m:r>
        <m:r>
          <m:t>l</m:t>
        </m:r>
      </m:oMath>
      <w:r>
        <w:t xml:space="preserve"> </w:t>
      </w:r>
      <w:r>
        <w:t xml:space="preserve">chloroform per ml of TRI Reagent used.</w:t>
      </w:r>
    </w:p>
    <w:p>
      <w:pPr>
        <w:numPr>
          <w:ilvl w:val="0"/>
          <w:numId w:val="1021"/>
        </w:numPr>
        <w:pStyle w:val="Compact"/>
      </w:pPr>
      <w:r>
        <w:t xml:space="preserve">Vortex.</w:t>
      </w:r>
    </w:p>
    <w:p>
      <w:pPr>
        <w:numPr>
          <w:ilvl w:val="0"/>
          <w:numId w:val="1021"/>
        </w:numPr>
        <w:pStyle w:val="Compact"/>
      </w:pPr>
      <w:r>
        <w:t xml:space="preserve">Incubation 2–15 minutes at room temperature.</w:t>
      </w:r>
    </w:p>
    <w:p>
      <w:pPr>
        <w:numPr>
          <w:ilvl w:val="0"/>
          <w:numId w:val="1021"/>
        </w:numPr>
        <w:pStyle w:val="Compact"/>
      </w:pPr>
      <w:r>
        <w:t xml:space="preserve">Centrifuge the resulting mixture at 12,000 g for 15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Transfer the aqueous phase to a fresh tube.</w:t>
      </w:r>
    </w:p>
    <w:p>
      <w:pPr>
        <w:numPr>
          <w:ilvl w:val="0"/>
          <w:numId w:val="1021"/>
        </w:numPr>
        <w:pStyle w:val="Compact"/>
      </w:pPr>
      <w:r>
        <w:t xml:space="preserve">Add 0.5 ml of 2-propanol per ml of TRI Reagent used.</w:t>
      </w:r>
    </w:p>
    <w:p>
      <w:pPr>
        <w:numPr>
          <w:ilvl w:val="0"/>
          <w:numId w:val="1021"/>
        </w:numPr>
        <w:pStyle w:val="Compact"/>
      </w:pPr>
      <w:r>
        <w:t xml:space="preserve">Mix gently.</w:t>
      </w:r>
    </w:p>
    <w:p>
      <w:pPr>
        <w:numPr>
          <w:ilvl w:val="0"/>
          <w:numId w:val="1021"/>
        </w:numPr>
        <w:pStyle w:val="Compact"/>
      </w:pPr>
      <w:r>
        <w:t xml:space="preserve">Incubation for 5–10 minutes at room temperature.</w:t>
      </w:r>
    </w:p>
    <w:p>
      <w:pPr>
        <w:numPr>
          <w:ilvl w:val="0"/>
          <w:numId w:val="1021"/>
        </w:numPr>
        <w:pStyle w:val="Compact"/>
      </w:pPr>
      <w:r>
        <w:t xml:space="preserve">Centrifuge at 12,000 g for 10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Add 1 ml of 75% ethanol per 1 ml of TRI Reagent used.</w:t>
      </w:r>
    </w:p>
    <w:p>
      <w:pPr>
        <w:numPr>
          <w:ilvl w:val="0"/>
          <w:numId w:val="1021"/>
        </w:numPr>
        <w:pStyle w:val="Compact"/>
      </w:pPr>
      <w:r>
        <w:t xml:space="preserve">Vortex.</w:t>
      </w:r>
    </w:p>
    <w:p>
      <w:pPr>
        <w:numPr>
          <w:ilvl w:val="0"/>
          <w:numId w:val="1021"/>
        </w:numPr>
        <w:pStyle w:val="Compact"/>
      </w:pPr>
      <w:r>
        <w:t xml:space="preserve">Centrifuge at 7,500 g for 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Air dry the RNA pellet for 5–10 minutes.</w:t>
      </w:r>
    </w:p>
    <w:p>
      <w:pPr>
        <w:numPr>
          <w:ilvl w:val="0"/>
          <w:numId w:val="1021"/>
        </w:numPr>
        <w:pStyle w:val="Compact"/>
      </w:pPr>
      <w:r>
        <w:t xml:space="preserve">Resuspend the RNA pellet with ~30</w:t>
      </w:r>
      <w:r>
        <w:t xml:space="preserve"> </w:t>
      </w:r>
      <m:oMath>
        <m:r>
          <m:t>μ</m:t>
        </m:r>
        <m:r>
          <m:t>l</m:t>
        </m:r>
      </m:oMath>
      <w:r>
        <w:t xml:space="preserve"> </w:t>
      </w:r>
      <w:r>
        <w:t xml:space="preserve">of RNase free water.</w:t>
      </w:r>
    </w:p>
    <w:bookmarkEnd w:id="175"/>
    <w:bookmarkEnd w:id="176"/>
    <w:bookmarkStart w:id="266" w:name="references"/>
    <w:p>
      <w:pPr>
        <w:pStyle w:val="Heading1"/>
      </w:pPr>
      <w:r>
        <w:t xml:space="preserve">References</w:t>
      </w:r>
    </w:p>
    <w:bookmarkStart w:id="265" w:name="refs"/>
    <w:bookmarkStart w:id="178" w:name="ref-Ali2015a"/>
    <w:p>
      <w:pPr>
        <w:pStyle w:val="Bibliography"/>
      </w:pPr>
      <w:r>
        <w:t xml:space="preserve">Ali Z, Abul-faraj A, Li L, Ghosh N, Piatek M, Mahjoub A, Aouida M, Piatek A, Baltes NJ, Voytas DF, et al. 2015.</w:t>
      </w:r>
      <w:r>
        <w:t xml:space="preserve"> </w:t>
      </w:r>
      <w:r>
        <w:t xml:space="preserve">Efficient Virus-Mediated Genome Editing in Plants Using the CRISPR/Cas9 System</w:t>
      </w:r>
      <w:r>
        <w:t xml:space="preserve">. Molecular Plant [Internet]. 8:1288–1291. Available from:</w:t>
      </w:r>
      <w:r>
        <w:t xml:space="preserve"> </w:t>
      </w:r>
      <w:hyperlink r:id="rId177">
        <w:r>
          <w:rPr>
            <w:rStyle w:val="Hyperlink"/>
          </w:rPr>
          <w:t xml:space="preserve">http://dx.doi.org/10.1016/j.molp.2015.02.011</w:t>
        </w:r>
      </w:hyperlink>
    </w:p>
    <w:bookmarkEnd w:id="178"/>
    <w:bookmarkStart w:id="180" w:name="ref-Barrangou1709"/>
    <w:p>
      <w:pPr>
        <w:pStyle w:val="Bibliography"/>
      </w:pPr>
      <w:r>
        <w:t xml:space="preserve">Barrangou R, Fremaux C, Deveau H, Richards M, Boyaval P, Moineau S, Romero DA, Horvath P. 2007.</w:t>
      </w:r>
      <w:r>
        <w:t xml:space="preserve"> </w:t>
      </w:r>
      <w:hyperlink r:id="rId179">
        <w:r>
          <w:rPr>
            <w:rStyle w:val="Hyperlink"/>
          </w:rPr>
          <w:t xml:space="preserve">CRISPR Provides Acquired Resistance Against Viruses in Prokaryotes</w:t>
        </w:r>
      </w:hyperlink>
      <w:r>
        <w:t xml:space="preserve">. Science. 315:1709–1712.</w:t>
      </w:r>
    </w:p>
    <w:bookmarkEnd w:id="180"/>
    <w:bookmarkStart w:id="182" w:name="ref-Cermak2017"/>
    <w:p>
      <w:pPr>
        <w:pStyle w:val="Bibliography"/>
      </w:pPr>
      <w:r>
        <w:t xml:space="preserve">Čermák T, Curtin SJ, Gil-Humanes J, Čegan R, Kono TJY, Belanto JJ, Starker CG, Mathre JW, Greenstein RL, Daniel F, et al. 2017.</w:t>
      </w:r>
      <w:r>
        <w:t xml:space="preserve"> </w:t>
      </w:r>
      <w:hyperlink r:id="rId181">
        <w:r>
          <w:rPr>
            <w:rStyle w:val="Hyperlink"/>
          </w:rPr>
          <w:t xml:space="preserve">A multipurpose toolkit to enable advanced genome engineering in plants</w:t>
        </w:r>
      </w:hyperlink>
      <w:r>
        <w:t xml:space="preserve">. Plant Cell. 29:1196–1217.</w:t>
      </w:r>
    </w:p>
    <w:bookmarkEnd w:id="182"/>
    <w:bookmarkStart w:id="184" w:name="ref-Chandrasegaran1996"/>
    <w:p>
      <w:pPr>
        <w:pStyle w:val="Bibliography"/>
      </w:pPr>
      <w:r>
        <w:t xml:space="preserve">Chandrasegaran S, Kim YG, Cha J, Chandrasegaran S. 1996.</w:t>
      </w:r>
      <w:r>
        <w:t xml:space="preserve"> </w:t>
      </w:r>
      <w:hyperlink r:id="rId183">
        <w:r>
          <w:rPr>
            <w:rStyle w:val="Hyperlink"/>
          </w:rPr>
          <w:t xml:space="preserve">Hybrid restriction enzymes : Zinc finger fusions to Fok I cleavage domain</w:t>
        </w:r>
      </w:hyperlink>
      <w:r>
        <w:t xml:space="preserve">. Proceedings of the National Academy of Sciences. 93:1156–1160.</w:t>
      </w:r>
    </w:p>
    <w:bookmarkEnd w:id="184"/>
    <w:bookmarkStart w:id="185" w:name="ref-Chang2017"/>
    <w:p>
      <w:pPr>
        <w:pStyle w:val="Bibliography"/>
      </w:pPr>
      <w:r>
        <w:t xml:space="preserve">Chang AY, Chau VW, Landas JA, Yvonne. 2017.</w:t>
      </w:r>
      <w:r>
        <w:t xml:space="preserve"> </w:t>
      </w:r>
      <w:r>
        <w:t xml:space="preserve">Preparation of calcium competent Escherichia coli and heat-shock transformation</w:t>
      </w:r>
      <w:r>
        <w:t xml:space="preserve">. Journal of Experimental Microbiology and Immunology (JEMI). 1:22–25.</w:t>
      </w:r>
    </w:p>
    <w:bookmarkEnd w:id="185"/>
    <w:bookmarkStart w:id="187" w:name="ref-Chomczynski1993"/>
    <w:p>
      <w:pPr>
        <w:pStyle w:val="Bibliography"/>
      </w:pPr>
      <w:r>
        <w:t xml:space="preserve">Chomczynski P. 1993.</w:t>
      </w:r>
      <w:r>
        <w:t xml:space="preserve"> </w:t>
      </w:r>
      <w:hyperlink r:id="rId186">
        <w:r>
          <w:rPr>
            <w:rStyle w:val="Hyperlink"/>
          </w:rPr>
          <w:t xml:space="preserve">A reagent for the single-step simultaneous isolation of RNA, DNA and proteins from cell and tissue samples</w:t>
        </w:r>
      </w:hyperlink>
      <w:r>
        <w:t xml:space="preserve">. BioTechniques. 15:532–537.</w:t>
      </w:r>
    </w:p>
    <w:bookmarkEnd w:id="187"/>
    <w:bookmarkStart w:id="189" w:name="ref-Christian2010"/>
    <w:p>
      <w:pPr>
        <w:pStyle w:val="Bibliography"/>
      </w:pPr>
      <w:r>
        <w:t xml:space="preserve">Christian M, Cermak T, Doyle EL, Schmidt C, Zhang F, Hummel A, Bogdanove AJ, Voytas DF. 2010.</w:t>
      </w:r>
      <w:r>
        <w:t xml:space="preserve"> </w:t>
      </w:r>
      <w:hyperlink r:id="rId188">
        <w:r>
          <w:rPr>
            <w:rStyle w:val="Hyperlink"/>
          </w:rPr>
          <w:t xml:space="preserve">Targeting DNA double-strand breaks with TAL effector nucleases</w:t>
        </w:r>
      </w:hyperlink>
      <w:r>
        <w:t xml:space="preserve">. Genetics. 186:756–761.</w:t>
      </w:r>
    </w:p>
    <w:bookmarkEnd w:id="189"/>
    <w:bookmarkStart w:id="191" w:name="ref-davey2005plant"/>
    <w:p>
      <w:pPr>
        <w:pStyle w:val="Bibliography"/>
      </w:pPr>
      <w:r>
        <w:t xml:space="preserve">Davey MR, Anthony P, Power JB, Lowe KC. 2005.</w:t>
      </w:r>
      <w:r>
        <w:t xml:space="preserve"> </w:t>
      </w:r>
      <w:hyperlink r:id="rId190">
        <w:r>
          <w:rPr>
            <w:rStyle w:val="Hyperlink"/>
          </w:rPr>
          <w:t xml:space="preserve">Plant protoplasts: Status and biotechnological perspectives</w:t>
        </w:r>
      </w:hyperlink>
      <w:r>
        <w:t xml:space="preserve">. Biotechnology Advances. 23:131–171.</w:t>
      </w:r>
    </w:p>
    <w:bookmarkEnd w:id="191"/>
    <w:bookmarkStart w:id="193" w:name="ref-DelDuca2019"/>
    <w:p>
      <w:pPr>
        <w:pStyle w:val="Bibliography"/>
      </w:pPr>
      <w:r>
        <w:t xml:space="preserve">Del Duca S, Aloisi I, Parrotta L, Cai G. 2019.</w:t>
      </w:r>
      <w:r>
        <w:t xml:space="preserve"> </w:t>
      </w:r>
      <w:hyperlink r:id="rId192">
        <w:r>
          <w:rPr>
            <w:rStyle w:val="Hyperlink"/>
          </w:rPr>
          <w:t xml:space="preserve">Cytoskeleton, transglutaminase and gametophytic self-incompatibility in the Malinae (Rosaceae)</w:t>
        </w:r>
      </w:hyperlink>
      <w:r>
        <w:t xml:space="preserve">. International Journal of Molecular Sciences. 20:1–11.</w:t>
      </w:r>
    </w:p>
    <w:bookmarkEnd w:id="193"/>
    <w:bookmarkStart w:id="195" w:name="ref-Ellison2020"/>
    <w:p>
      <w:pPr>
        <w:pStyle w:val="Bibliography"/>
      </w:pPr>
      <w:r>
        <w:t xml:space="preserve">Ellison EE, Nagalakshmi U, Gamo ME, Huang P jui, Dinesh-Kumar S, Voytas DF, Huang P jui, Dinesh-Kumar S, Voytas DF. 2020.</w:t>
      </w:r>
      <w:r>
        <w:t xml:space="preserve"> </w:t>
      </w:r>
      <w:r>
        <w:t xml:space="preserve">Multiplexed heritable gene editing using RNA viruses and mobile single guide RNAs</w:t>
      </w:r>
      <w:r>
        <w:t xml:space="preserve">. Nature Plants [Internet]. 6:620–624. Available from:</w:t>
      </w:r>
      <w:r>
        <w:t xml:space="preserve"> </w:t>
      </w:r>
      <w:hyperlink r:id="rId194">
        <w:r>
          <w:rPr>
            <w:rStyle w:val="Hyperlink"/>
          </w:rPr>
          <w:t xml:space="preserve">http://dx.doi.org/10.1038/s41477-020-0670-y</w:t>
        </w:r>
      </w:hyperlink>
    </w:p>
    <w:bookmarkEnd w:id="195"/>
    <w:bookmarkStart w:id="197" w:name="ref-Ericksen2009"/>
    <w:p>
      <w:pPr>
        <w:pStyle w:val="Bibliography"/>
      </w:pPr>
      <w:r>
        <w:t xml:space="preserve">Ericksen PJ, Ingram JSI, Liverman DM. 2009.</w:t>
      </w:r>
      <w:r>
        <w:t xml:space="preserve"> </w:t>
      </w:r>
      <w:hyperlink r:id="rId196">
        <w:r>
          <w:rPr>
            <w:rStyle w:val="Hyperlink"/>
          </w:rPr>
          <w:t xml:space="preserve">Food security and global environmental change: emerging challenges</w:t>
        </w:r>
      </w:hyperlink>
      <w:r>
        <w:t xml:space="preserve">. Environmental Science and Policy. 12:373–377.</w:t>
      </w:r>
    </w:p>
    <w:bookmarkEnd w:id="197"/>
    <w:bookmarkStart w:id="198" w:name="ref-FAO2011"/>
    <w:p>
      <w:pPr>
        <w:pStyle w:val="Bibliography"/>
      </w:pPr>
      <w:r>
        <w:t xml:space="preserve">FAO. 2011.</w:t>
      </w:r>
      <w:r>
        <w:t xml:space="preserve"> </w:t>
      </w:r>
      <w:r>
        <w:t xml:space="preserve">in the 21 st Century</w:t>
      </w:r>
      <w:r>
        <w:t xml:space="preserve">. [place unknown].</w:t>
      </w:r>
    </w:p>
    <w:bookmarkEnd w:id="198"/>
    <w:bookmarkStart w:id="200" w:name="ref-FAO2020a"/>
    <w:p>
      <w:pPr>
        <w:pStyle w:val="Bibliography"/>
      </w:pPr>
      <w:r>
        <w:t xml:space="preserve">FAO. 2020.</w:t>
      </w:r>
      <w:r>
        <w:t xml:space="preserve"> </w:t>
      </w:r>
      <w:hyperlink r:id="rId199">
        <w:r>
          <w:rPr>
            <w:rStyle w:val="Hyperlink"/>
          </w:rPr>
          <w:t xml:space="preserve">Food Security and Nutrition in the World. Transofrmin food systems for affordable healthy diets</w:t>
        </w:r>
      </w:hyperlink>
      <w:r>
        <w:t xml:space="preserve">. [place unknown].</w:t>
      </w:r>
    </w:p>
    <w:bookmarkEnd w:id="200"/>
    <w:bookmarkStart w:id="201" w:name="ref-fire1998potent"/>
    <w:p>
      <w:pPr>
        <w:pStyle w:val="Bibliography"/>
      </w:pPr>
      <w:r>
        <w:t xml:space="preserve">Fire A, Xu S, Montgomery MK, Kostas SA, Driver SE, Mello CC. 1998.</w:t>
      </w:r>
      <w:r>
        <w:t xml:space="preserve"> </w:t>
      </w:r>
      <w:r>
        <w:t xml:space="preserve">Potent and specific genetic interference by double-stranded RNA in Caenorhabditis elegans</w:t>
      </w:r>
      <w:r>
        <w:t xml:space="preserve">. nature. 391:806–811.</w:t>
      </w:r>
    </w:p>
    <w:bookmarkEnd w:id="201"/>
    <w:bookmarkStart w:id="203" w:name="ref-Garrity2010"/>
    <w:p>
      <w:pPr>
        <w:pStyle w:val="Bibliography"/>
      </w:pPr>
      <w:r>
        <w:t xml:space="preserve">Garrity DP, Akinnifesi FK, Ajayi OC, Weldesemayat SG, Mowo JG, Kalinganire A, Larwanou M, Bayala J. 2010.</w:t>
      </w:r>
      <w:r>
        <w:t xml:space="preserve"> </w:t>
      </w:r>
      <w:hyperlink r:id="rId202">
        <w:r>
          <w:rPr>
            <w:rStyle w:val="Hyperlink"/>
          </w:rPr>
          <w:t xml:space="preserve">Evergreen Agriculture: A robust approach to sustainable food security in Africa</w:t>
        </w:r>
      </w:hyperlink>
      <w:r>
        <w:t xml:space="preserve">. Food Security. 2:197–214.</w:t>
      </w:r>
    </w:p>
    <w:bookmarkEnd w:id="203"/>
    <w:bookmarkStart w:id="205" w:name="ref-GasiunasE2579"/>
    <w:p>
      <w:pPr>
        <w:pStyle w:val="Bibliography"/>
      </w:pPr>
      <w:r>
        <w:t xml:space="preserve">Gasiunas G, Barrangou R, Horvath P, Siksnys V. 2012.</w:t>
      </w:r>
      <w:r>
        <w:t xml:space="preserve"> </w:t>
      </w:r>
      <w:hyperlink r:id="rId204">
        <w:r>
          <w:rPr>
            <w:rStyle w:val="Hyperlink"/>
          </w:rPr>
          <w:t xml:space="preserve">Cas9 crRNA ribonucleoprotein complex mediates specific DNA cleavage for adaptive immunity in bacteria</w:t>
        </w:r>
      </w:hyperlink>
      <w:r>
        <w:t xml:space="preserve">. Proceedings of the National Academy of Sciences. 109:E2579—–E2586.</w:t>
      </w:r>
    </w:p>
    <w:bookmarkEnd w:id="205"/>
    <w:bookmarkStart w:id="207" w:name="ref-Gibson2009"/>
    <w:p>
      <w:pPr>
        <w:pStyle w:val="Bibliography"/>
      </w:pPr>
      <w:r>
        <w:t xml:space="preserve">Gibson DG, Young L, Chuang RY, Venter JC, Hutchison CA, Smith HO. 2009.</w:t>
      </w:r>
      <w:r>
        <w:t xml:space="preserve"> </w:t>
      </w:r>
      <w:hyperlink r:id="rId206">
        <w:r>
          <w:rPr>
            <w:rStyle w:val="Hyperlink"/>
          </w:rPr>
          <w:t xml:space="preserve">Enzymatic assembly of DNA molecules up to several hundred kilobases</w:t>
        </w:r>
      </w:hyperlink>
      <w:r>
        <w:t xml:space="preserve">. Nature Methods. 6:343–345.</w:t>
      </w:r>
    </w:p>
    <w:bookmarkEnd w:id="207"/>
    <w:bookmarkStart w:id="208" w:name="ref-goldway2012self"/>
    <w:p>
      <w:pPr>
        <w:pStyle w:val="Bibliography"/>
      </w:pPr>
      <w:r>
        <w:t xml:space="preserve">Goldway M, Stern R, Zisovich A, Raz A, Sapir G, Schnieder D, Nyska R, Others. 2012.</w:t>
      </w:r>
      <w:r>
        <w:t xml:space="preserve"> </w:t>
      </w:r>
      <w:r>
        <w:t xml:space="preserve">The self-incompatibility fertilization system in Rosaceae: agricultural and genetic aspects.</w:t>
      </w:r>
      <w:r>
        <w:t xml:space="preserve"> Acta Horticulturae.:77–82.</w:t>
      </w:r>
    </w:p>
    <w:bookmarkEnd w:id="208"/>
    <w:bookmarkStart w:id="210" w:name="ref-Grigoriev2012"/>
    <w:p>
      <w:pPr>
        <w:pStyle w:val="Bibliography"/>
      </w:pPr>
      <w:r>
        <w:t xml:space="preserve">Grigoriev IV, Nordberg H, Shabalov I, Aerts A, Cantor M, Goodstein D, Kuo A, Minovitsky S, Nikitin R, Ohm RA, et al. 2012.</w:t>
      </w:r>
      <w:r>
        <w:t xml:space="preserve"> </w:t>
      </w:r>
      <w:hyperlink r:id="rId209">
        <w:r>
          <w:rPr>
            <w:rStyle w:val="Hyperlink"/>
          </w:rPr>
          <w:t xml:space="preserve">The Genome Portal of the Department of Energy Joint Genome Institute</w:t>
        </w:r>
      </w:hyperlink>
      <w:r>
        <w:t xml:space="preserve">. Nucleic Acids Research. 40:26–32.</w:t>
      </w:r>
    </w:p>
    <w:bookmarkEnd w:id="210"/>
    <w:bookmarkStart w:id="212" w:name="ref-Harries2008"/>
    <w:p>
      <w:pPr>
        <w:pStyle w:val="Bibliography"/>
      </w:pPr>
      <w:r>
        <w:t xml:space="preserve">Harries PA, Palanichelvam K, Bhat S, Nelson RS. 2008.</w:t>
      </w:r>
      <w:r>
        <w:t xml:space="preserve"> </w:t>
      </w:r>
      <w:hyperlink r:id="rId211">
        <w:r>
          <w:rPr>
            <w:rStyle w:val="Hyperlink"/>
          </w:rPr>
          <w:t xml:space="preserve">Tobacco mosaic virus 126-kDa protein increases the susceptibility of Nicotiana tabacum to other viruses and its dosage affects virus-induced gene silencing</w:t>
        </w:r>
      </w:hyperlink>
      <w:r>
        <w:t xml:space="preserve">. Molecular Plant-Microbe Interactions. 21:1539–1548.</w:t>
      </w:r>
    </w:p>
    <w:bookmarkEnd w:id="212"/>
    <w:bookmarkStart w:id="214" w:name="ref-Rosenzweig2001"/>
    <w:p>
      <w:pPr>
        <w:pStyle w:val="Bibliography"/>
      </w:pPr>
      <w:r>
        <w:t xml:space="preserve">Iglesius A, Epstein PR, Chivian E, Rosenzweig C, Iglesias A, Yang XB, Epstein PR, Chivian E. 2001.</w:t>
      </w:r>
      <w:r>
        <w:t xml:space="preserve"> </w:t>
      </w:r>
      <w:hyperlink r:id="rId213">
        <w:r>
          <w:rPr>
            <w:rStyle w:val="Hyperlink"/>
          </w:rPr>
          <w:t xml:space="preserve">Implications for food production, plant diseases, and pests</w:t>
        </w:r>
      </w:hyperlink>
      <w:r>
        <w:t xml:space="preserve">. Global Change and Human Health. 2:90–104.</w:t>
      </w:r>
    </w:p>
    <w:bookmarkEnd w:id="214"/>
    <w:bookmarkStart w:id="215" w:name="ref-Indra1972"/>
    <w:p>
      <w:pPr>
        <w:pStyle w:val="Bibliography"/>
      </w:pPr>
      <w:r>
        <w:t xml:space="preserve">Indra K, Vimla V. 1972.</w:t>
      </w:r>
      <w:r>
        <w:t xml:space="preserve"> </w:t>
      </w:r>
      <w:r>
        <w:t xml:space="preserve">Totipotecy and embryogenesis in plant cell and tissue cultures</w:t>
      </w:r>
      <w:r>
        <w:t xml:space="preserve">. In vitro. 8.</w:t>
      </w:r>
    </w:p>
    <w:bookmarkEnd w:id="215"/>
    <w:bookmarkStart w:id="217" w:name="ref-Jiang2014"/>
    <w:p>
      <w:pPr>
        <w:pStyle w:val="Bibliography"/>
      </w:pPr>
      <w:r>
        <w:t xml:space="preserve">Jiang Y, Ye S, Wang L, Duan Y, Lu W, Liu H, Fan D, Zhang F, Luo K. 2014.</w:t>
      </w:r>
      <w:r>
        <w:t xml:space="preserve"> </w:t>
      </w:r>
      <w:hyperlink r:id="rId216">
        <w:r>
          <w:rPr>
            <w:rStyle w:val="Hyperlink"/>
          </w:rPr>
          <w:t xml:space="preserve">Heterologous gene silencing induced by tobacco rattle virus (TRV) is efficient for pursuing functional genomics studies in woody plants</w:t>
        </w:r>
      </w:hyperlink>
      <w:r>
        <w:t xml:space="preserve">. Plant Cell, Tissue and Organ Culture. 116:163–174.</w:t>
      </w:r>
    </w:p>
    <w:bookmarkEnd w:id="217"/>
    <w:bookmarkStart w:id="219" w:name="ref-Jinek2012"/>
    <w:p>
      <w:pPr>
        <w:pStyle w:val="Bibliography"/>
      </w:pPr>
      <w:r>
        <w:t xml:space="preserve">Jinek M, Chylinski K, Fonfara I, Hauer M, Doudna JA, Charpentier E. 2012.</w:t>
      </w:r>
      <w:r>
        <w:t xml:space="preserve"> </w:t>
      </w:r>
      <w:hyperlink r:id="rId218">
        <w:r>
          <w:rPr>
            <w:rStyle w:val="Hyperlink"/>
          </w:rPr>
          <w:t xml:space="preserve">A programmable dual-RNA-guided DNA endonuclease in adaptive bacterial immunity</w:t>
        </w:r>
      </w:hyperlink>
      <w:r>
        <w:t xml:space="preserve">. Science. 337:816–821.</w:t>
      </w:r>
    </w:p>
    <w:bookmarkEnd w:id="219"/>
    <w:bookmarkStart w:id="221" w:name="ref-Kaeppler2000"/>
    <w:p>
      <w:pPr>
        <w:pStyle w:val="Bibliography"/>
      </w:pPr>
      <w:r>
        <w:t xml:space="preserve">Kaeppler SM, Kaeppler HF, Rhee Y. 2000.</w:t>
      </w:r>
      <w:r>
        <w:t xml:space="preserve"> </w:t>
      </w:r>
      <w:hyperlink r:id="rId220">
        <w:r>
          <w:rPr>
            <w:rStyle w:val="Hyperlink"/>
          </w:rPr>
          <w:t xml:space="preserve">Epigenetic aspects of somaclonal variation in plants</w:t>
        </w:r>
      </w:hyperlink>
      <w:r>
        <w:t xml:space="preserve">. Plant Molecular Biology. 43:179–188.</w:t>
      </w:r>
    </w:p>
    <w:bookmarkEnd w:id="221"/>
    <w:bookmarkStart w:id="223" w:name="ref-Lee2012"/>
    <w:p>
      <w:pPr>
        <w:pStyle w:val="Bibliography"/>
      </w:pPr>
      <w:r>
        <w:t xml:space="preserve">Lee PY, Costumbrado J, Hsu CY, Kim YH. 2012.</w:t>
      </w:r>
      <w:r>
        <w:t xml:space="preserve"> </w:t>
      </w:r>
      <w:hyperlink r:id="rId222">
        <w:r>
          <w:rPr>
            <w:rStyle w:val="Hyperlink"/>
          </w:rPr>
          <w:t xml:space="preserve">Agarose gel electrophoresis for the separation of DNA fragments</w:t>
        </w:r>
      </w:hyperlink>
      <w:r>
        <w:t xml:space="preserve">. Journal of Visualized Experiments.:1–5.</w:t>
      </w:r>
    </w:p>
    <w:bookmarkEnd w:id="223"/>
    <w:bookmarkStart w:id="225" w:name="ref-Lee2015"/>
    <w:p>
      <w:pPr>
        <w:pStyle w:val="Bibliography"/>
      </w:pPr>
      <w:r>
        <w:t xml:space="preserve">Lee WS, Rudd JJ, Kanyuka K. 2015.</w:t>
      </w:r>
      <w:r>
        <w:t xml:space="preserve"> </w:t>
      </w:r>
      <w:r>
        <w:t xml:space="preserve">Virus induced gene silencing (VIGS) for functional analysis of wheat genes involved in Zymoseptoria tritici susceptibility and resistance</w:t>
      </w:r>
      <w:r>
        <w:t xml:space="preserve">. Fungal Genetics and Biology [Internet]. 79:84–88. Available from:</w:t>
      </w:r>
      <w:r>
        <w:t xml:space="preserve"> </w:t>
      </w:r>
      <w:hyperlink r:id="rId224">
        <w:r>
          <w:rPr>
            <w:rStyle w:val="Hyperlink"/>
          </w:rPr>
          <w:t xml:space="preserve">http://dx.doi.org/10.1016/j.fgb.2015.04.006</w:t>
        </w:r>
      </w:hyperlink>
    </w:p>
    <w:bookmarkEnd w:id="225"/>
    <w:bookmarkStart w:id="226" w:name="ref-Linden2015"/>
    <w:p>
      <w:pPr>
        <w:pStyle w:val="Bibliography"/>
      </w:pPr>
      <w:r>
        <w:t xml:space="preserve">Linden PVD, Office M. 2015.</w:t>
      </w:r>
      <w:r>
        <w:t xml:space="preserve"> </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26"/>
    <w:bookmarkStart w:id="228" w:name="ref-Liu2018a"/>
    <w:p>
      <w:pPr>
        <w:pStyle w:val="Bibliography"/>
      </w:pPr>
      <w:r>
        <w:t xml:space="preserve">Liu B, Zhang J, Yang Z, Matsui A, Seki M, Li S, Yan X, Kohnen MV, Gu L, Prasad K, et al. 2018.</w:t>
      </w:r>
      <w:r>
        <w:t xml:space="preserve"> </w:t>
      </w:r>
      <w:hyperlink r:id="rId227">
        <w:r>
          <w:rPr>
            <w:rStyle w:val="Hyperlink"/>
          </w:rPr>
          <w:t xml:space="preserve">PtWOX11 acts as master regulator conducting the expression of key transcription factors to induce de novo shoot organogenesis in poplar</w:t>
        </w:r>
      </w:hyperlink>
      <w:r>
        <w:t xml:space="preserve">. Plant Molecular Biology. 98:389–406.</w:t>
      </w:r>
    </w:p>
    <w:bookmarkEnd w:id="228"/>
    <w:bookmarkStart w:id="230" w:name="ref-Maher2020"/>
    <w:p>
      <w:pPr>
        <w:pStyle w:val="Bibliography"/>
      </w:pPr>
      <w:r>
        <w:t xml:space="preserve">Maher MF, Nasti RA, Vollbrecht M, Starker CG, Clark MD, Voytas DF. 2020.</w:t>
      </w:r>
      <w:r>
        <w:t xml:space="preserve"> </w:t>
      </w:r>
      <w:hyperlink r:id="rId229">
        <w:r>
          <w:rPr>
            <w:rStyle w:val="Hyperlink"/>
          </w:rPr>
          <w:t xml:space="preserve">Plant gene editing through de novo induction of meristems</w:t>
        </w:r>
      </w:hyperlink>
      <w:r>
        <w:t xml:space="preserve">. Nature Biotechnology. 38:84–89.</w:t>
      </w:r>
    </w:p>
    <w:bookmarkEnd w:id="230"/>
    <w:bookmarkStart w:id="232" w:name="ref-Mukeshimana2013"/>
    <w:p>
      <w:pPr>
        <w:pStyle w:val="Bibliography"/>
      </w:pPr>
      <w:r>
        <w:t xml:space="preserve">Mukeshimana G, Ma Y, Walworth AE, Song G qing, Kelly JD. 2013.</w:t>
      </w:r>
      <w:r>
        <w:t xml:space="preserve"> </w:t>
      </w:r>
      <w:hyperlink r:id="rId231">
        <w:r>
          <w:rPr>
            <w:rStyle w:val="Hyperlink"/>
          </w:rPr>
          <w:t xml:space="preserve">Factors influencing regeneration and Agrobacterium tumefaciens-mediated transformation of common bean (Phaseolus vulgaris L.)</w:t>
        </w:r>
      </w:hyperlink>
      <w:r>
        <w:t xml:space="preserve">. Plant Biotechnology Reports. 7:59–70.</w:t>
      </w:r>
    </w:p>
    <w:bookmarkEnd w:id="232"/>
    <w:bookmarkStart w:id="234" w:name="ref-OBrien2011"/>
    <w:p>
      <w:pPr>
        <w:pStyle w:val="Bibliography"/>
      </w:pPr>
      <w:r>
        <w:t xml:space="preserve">O’Brien JA, Lummis SCR. 2011.</w:t>
      </w:r>
      <w:r>
        <w:t xml:space="preserve"> </w:t>
      </w:r>
      <w:hyperlink r:id="rId233">
        <w:r>
          <w:rPr>
            <w:rStyle w:val="Hyperlink"/>
          </w:rPr>
          <w:t xml:space="preserve">Nano-biolistics: A method of biolistic transfection of cells and tissues using a gene gun with novel nanometer-sized projectiles</w:t>
        </w:r>
      </w:hyperlink>
      <w:r>
        <w:t xml:space="preserve">. 11.</w:t>
      </w:r>
    </w:p>
    <w:bookmarkEnd w:id="234"/>
    <w:bookmarkStart w:id="236" w:name="ref-Porebski1997"/>
    <w:p>
      <w:pPr>
        <w:pStyle w:val="Bibliography"/>
      </w:pPr>
      <w:r>
        <w:t xml:space="preserve">Porebski S, Bailey LG, Baum BR. 1997.</w:t>
      </w:r>
      <w:r>
        <w:t xml:space="preserve"> </w:t>
      </w:r>
      <w:hyperlink r:id="rId235">
        <w:r>
          <w:rPr>
            <w:rStyle w:val="Hyperlink"/>
          </w:rPr>
          <w:t xml:space="preserve">Modification of a CTAB DNA extraction protocol for plants containing high polysaccharide and polyphenol components</w:t>
        </w:r>
      </w:hyperlink>
      <w:r>
        <w:t xml:space="preserve">. Plant Molecular Biology Reporter. 15:8–15.</w:t>
      </w:r>
    </w:p>
    <w:bookmarkEnd w:id="236"/>
    <w:bookmarkStart w:id="238" w:name="ref-Rakoczy-Trojanowska2002"/>
    <w:p>
      <w:pPr>
        <w:pStyle w:val="Bibliography"/>
      </w:pPr>
      <w:r>
        <w:t xml:space="preserve">Rakoczy-Trojanowska M. 2002.</w:t>
      </w:r>
      <w:r>
        <w:t xml:space="preserve"> </w:t>
      </w:r>
      <w:hyperlink r:id="rId237">
        <w:r>
          <w:rPr>
            <w:rStyle w:val="Hyperlink"/>
          </w:rPr>
          <w:t xml:space="preserve">Alternative methods of plant transformation - A short review</w:t>
        </w:r>
      </w:hyperlink>
      <w:r>
        <w:t xml:space="preserve">. Cellular and Molecular Biology Letters. 7:849–858.</w:t>
      </w:r>
    </w:p>
    <w:bookmarkEnd w:id="238"/>
    <w:bookmarkStart w:id="240" w:name="ref-Rasmussen2017"/>
    <w:p>
      <w:pPr>
        <w:pStyle w:val="Bibliography"/>
      </w:pPr>
      <w:r>
        <w:t xml:space="preserve">Rasmussen SK, Kumar Mall T, Duraialagaraja S, Agrawal PK, Yadava P, Abhishek A, Singh R, Singh I, Kaul T, Pattanayak A. 2017.</w:t>
      </w:r>
      <w:r>
        <w:t xml:space="preserve"> </w:t>
      </w:r>
      <w:r>
        <w:t xml:space="preserve">Advances in Maize Transformation Technologies and Development of Transgenic Maize</w:t>
      </w:r>
      <w:r>
        <w:t xml:space="preserve">. Front Plant Sci [Internet]. 7:1949. Available from:</w:t>
      </w:r>
      <w:r>
        <w:t xml:space="preserve"> </w:t>
      </w:r>
      <w:hyperlink r:id="rId239">
        <w:r>
          <w:rPr>
            <w:rStyle w:val="Hyperlink"/>
          </w:rPr>
          <w:t xml:space="preserve">www.frontiersin.org</w:t>
        </w:r>
      </w:hyperlink>
    </w:p>
    <w:bookmarkEnd w:id="240"/>
    <w:bookmarkStart w:id="242" w:name="ref-Ratcliff2001"/>
    <w:p>
      <w:pPr>
        <w:pStyle w:val="Bibliography"/>
      </w:pPr>
      <w:r>
        <w:t xml:space="preserve">Ratcliff F, Martin-Hernandez AM, Baulcombe DC. 2001.</w:t>
      </w:r>
      <w:r>
        <w:t xml:space="preserve"> </w:t>
      </w:r>
      <w:hyperlink r:id="rId241">
        <w:r>
          <w:rPr>
            <w:rStyle w:val="Hyperlink"/>
          </w:rPr>
          <w:t xml:space="preserve">Tobacco rattle virus as a vector for analysis of gene function by silencing</w:t>
        </w:r>
      </w:hyperlink>
      <w:r>
        <w:t xml:space="preserve">. Plant Journal. 25:237–245.</w:t>
      </w:r>
    </w:p>
    <w:bookmarkEnd w:id="242"/>
    <w:bookmarkStart w:id="244" w:name="ref-Schouten2007"/>
    <w:p>
      <w:pPr>
        <w:pStyle w:val="Bibliography"/>
      </w:pPr>
      <w:r>
        <w:t xml:space="preserve">Schouten HJ, Jacobsen E. 2007.</w:t>
      </w:r>
      <w:r>
        <w:t xml:space="preserve"> </w:t>
      </w:r>
      <w:hyperlink r:id="rId243">
        <w:r>
          <w:rPr>
            <w:rStyle w:val="Hyperlink"/>
          </w:rPr>
          <w:t xml:space="preserve">Are mutations in genetically modified plants dangerous?</w:t>
        </w:r>
      </w:hyperlink>
      <w:r>
        <w:t xml:space="preserve"> Journal of Biomedicine and Biotechnology. 2007:2–4.</w:t>
      </w:r>
    </w:p>
    <w:bookmarkEnd w:id="244"/>
    <w:bookmarkStart w:id="246" w:name="ref-Shewry2008149"/>
    <w:p>
      <w:pPr>
        <w:pStyle w:val="Bibliography"/>
      </w:pPr>
      <w:r>
        <w:t xml:space="preserve">Shewry PR, Jones HD, Halford NG. 2008.</w:t>
      </w:r>
      <w:r>
        <w:t xml:space="preserve"> </w:t>
      </w:r>
      <w:hyperlink r:id="rId245">
        <w:r>
          <w:rPr>
            <w:rStyle w:val="Hyperlink"/>
          </w:rPr>
          <w:t xml:space="preserve">Plant biotechnology: Transgenic crops</w:t>
        </w:r>
      </w:hyperlink>
      <w:r>
        <w:t xml:space="preserve">. Advances in Biochemical Engineering/Biotechnology. 111:149–186.</w:t>
      </w:r>
    </w:p>
    <w:bookmarkEnd w:id="246"/>
    <w:bookmarkStart w:id="248" w:name="ref-Shiferaw2014"/>
    <w:p>
      <w:pPr>
        <w:pStyle w:val="Bibliography"/>
      </w:pPr>
      <w:r>
        <w:t xml:space="preserve">Shiferaw B, Tesfaye K, Kassie M, Abate T, Prasanna BM, Menkir A. 2014.</w:t>
      </w:r>
      <w:r>
        <w:t xml:space="preserve"> </w:t>
      </w:r>
      <w:r>
        <w:t xml:space="preserve">Managing vulnerability to drought and enhancing livelihood resilience in sub-Saharan Africa: Technological, institutional and policy options</w:t>
      </w:r>
      <w:r>
        <w:t xml:space="preserve">. Weather and Climate Extremes [Internet]. 3:67–79. Available from:</w:t>
      </w:r>
      <w:r>
        <w:t xml:space="preserve"> </w:t>
      </w:r>
      <w:hyperlink r:id="rId247">
        <w:r>
          <w:rPr>
            <w:rStyle w:val="Hyperlink"/>
          </w:rPr>
          <w:t xml:space="preserve">http://dx.doi.org/10.1016/j.wace.2014.04.004</w:t>
        </w:r>
      </w:hyperlink>
    </w:p>
    <w:bookmarkEnd w:id="248"/>
    <w:bookmarkStart w:id="250" w:name="ref-Song2019"/>
    <w:p>
      <w:pPr>
        <w:pStyle w:val="Bibliography"/>
      </w:pPr>
      <w:r>
        <w:t xml:space="preserve">Song C, Lu L, Guo Y, Xu H, Li R. 2019.</w:t>
      </w:r>
      <w:r>
        <w:t xml:space="preserve"> </w:t>
      </w:r>
      <w:hyperlink r:id="rId249">
        <w:r>
          <w:rPr>
            <w:rStyle w:val="Hyperlink"/>
          </w:rPr>
          <w:t xml:space="preserve">Efficient agrobacterium-mediated transformation of the commercial hybrid poplar populus alba × populus glandulosa Uyeki</w:t>
        </w:r>
      </w:hyperlink>
      <w:r>
        <w:t xml:space="preserve">. International Journal of Molecular Sciences. 20.</w:t>
      </w:r>
    </w:p>
    <w:bookmarkEnd w:id="250"/>
    <w:bookmarkStart w:id="252" w:name="ref-Taylor2002"/>
    <w:p>
      <w:pPr>
        <w:pStyle w:val="Bibliography"/>
      </w:pPr>
      <w:r>
        <w:t xml:space="preserve">Taylor G. 2002.</w:t>
      </w:r>
      <w:r>
        <w:t xml:space="preserve"> </w:t>
      </w:r>
      <w:hyperlink r:id="rId251">
        <w:r>
          <w:rPr>
            <w:rStyle w:val="Hyperlink"/>
          </w:rPr>
          <w:t xml:space="preserve">Populus: Arabidopsis for forestry. Do we need a model tree?</w:t>
        </w:r>
      </w:hyperlink>
      <w:r>
        <w:t xml:space="preserve"> Annals of Botany. 90:681–689.</w:t>
      </w:r>
    </w:p>
    <w:bookmarkEnd w:id="252"/>
    <w:bookmarkStart w:id="254" w:name="ref-TesterMarkandLangridge2010"/>
    <w:p>
      <w:pPr>
        <w:pStyle w:val="Bibliography"/>
      </w:pPr>
      <w:r>
        <w:t xml:space="preserve">Tester, Mark and Langridge P. 2010.</w:t>
      </w:r>
      <w:r>
        <w:t xml:space="preserve"> </w:t>
      </w:r>
      <w:hyperlink r:id="rId253">
        <w:r>
          <w:rPr>
            <w:rStyle w:val="Hyperlink"/>
          </w:rPr>
          <w:t xml:space="preserve">Breeding Technologies to Increase</w:t>
        </w:r>
      </w:hyperlink>
      <w:r>
        <w:t xml:space="preserve">. Science. 818:818–822.</w:t>
      </w:r>
    </w:p>
    <w:bookmarkEnd w:id="254"/>
    <w:bookmarkStart w:id="256" w:name="ref-Tvorogova2021"/>
    <w:p>
      <w:pPr>
        <w:pStyle w:val="Bibliography"/>
      </w:pPr>
      <w:r>
        <w:t xml:space="preserve">Tvorogova VE, Krasnoperova EY, Potsenkovskaia EA, Kudriashov AA, Dodueva IE, Lutova LA. 2021.</w:t>
      </w:r>
      <w:r>
        <w:t xml:space="preserve"> </w:t>
      </w:r>
      <w:hyperlink r:id="rId255">
        <w:r>
          <w:rPr>
            <w:rStyle w:val="Hyperlink"/>
          </w:rPr>
          <w:t xml:space="preserve">What Does the WOX Say? Review of Regulators, Targets, Partners</w:t>
        </w:r>
      </w:hyperlink>
      <w:r>
        <w:t xml:space="preserve">. Molecular Biology.</w:t>
      </w:r>
    </w:p>
    <w:bookmarkEnd w:id="256"/>
    <w:bookmarkStart w:id="257" w:name="ref-Undervisningsministeriet2014"/>
    <w:p>
      <w:pPr>
        <w:pStyle w:val="Bibliography"/>
      </w:pPr>
      <w:r>
        <w:t xml:space="preserve">Undervisningsministeriet. 2014.</w:t>
      </w:r>
      <w:r>
        <w:t xml:space="preserve"> </w:t>
      </w:r>
      <w:r>
        <w:t xml:space="preserve">Enhanced Reader.pdf</w:t>
      </w:r>
      <w:r>
        <w:t xml:space="preserve">. :1.</w:t>
      </w:r>
    </w:p>
    <w:bookmarkEnd w:id="257"/>
    <w:bookmarkStart w:id="259" w:name="ref-Vinceti2013"/>
    <w:p>
      <w:pPr>
        <w:pStyle w:val="Bibliography"/>
      </w:pPr>
      <w:r>
        <w:t xml:space="preserve">Vinceti B, Termote C, Ickowitz A, Powell B, Kehlenbeck K, Hunter D. 2013.</w:t>
      </w:r>
      <w:r>
        <w:t xml:space="preserve"> </w:t>
      </w:r>
      <w:hyperlink r:id="rId258">
        <w:r>
          <w:rPr>
            <w:rStyle w:val="Hyperlink"/>
          </w:rPr>
          <w:t xml:space="preserve">The contribution of forests and trees to sustainable diets</w:t>
        </w:r>
      </w:hyperlink>
      <w:r>
        <w:t xml:space="preserve">. Sustainability (Switzerland). 5:4797–4824.</w:t>
      </w:r>
    </w:p>
    <w:bookmarkEnd w:id="259"/>
    <w:bookmarkStart w:id="260" w:name="ref-zhang2016trna"/>
    <w:p>
      <w:pPr>
        <w:pStyle w:val="Bibliography"/>
      </w:pPr>
      <w:r>
        <w:t xml:space="preserve">Zhang W, Thieme CJ, Kollwig G, Apelt F, Yang L, Winter N, Andresen N, Walther D, Kragler F. 2016.</w:t>
      </w:r>
      <w:r>
        <w:t xml:space="preserve"> </w:t>
      </w:r>
      <w:r>
        <w:t xml:space="preserve">tRNA-related sequences trigger systemic mRNA transport in plants</w:t>
      </w:r>
      <w:r>
        <w:t xml:space="preserve">. The Plant Cell. 28:1237–1249.</w:t>
      </w:r>
    </w:p>
    <w:bookmarkEnd w:id="260"/>
    <w:bookmarkStart w:id="262" w:name="ref-Zhang2006"/>
    <w:p>
      <w:pPr>
        <w:pStyle w:val="Bibliography"/>
      </w:pPr>
      <w:r>
        <w:t xml:space="preserve">Zhang X, Henriques R, Lin SS, Niu QW, Chua NH. 2006.</w:t>
      </w:r>
      <w:r>
        <w:t xml:space="preserve"> </w:t>
      </w:r>
      <w:hyperlink r:id="rId261">
        <w:r>
          <w:rPr>
            <w:rStyle w:val="Hyperlink"/>
          </w:rPr>
          <w:t xml:space="preserve">Agrobacterium-mediated transformation of Arabidopsis thaliana using the floral dip method</w:t>
        </w:r>
      </w:hyperlink>
      <w:r>
        <w:t xml:space="preserve">. Nature Protocols. 1:641–646.</w:t>
      </w:r>
    </w:p>
    <w:bookmarkEnd w:id="262"/>
    <w:bookmarkStart w:id="264" w:name="ref-Zhang2017"/>
    <w:p>
      <w:pPr>
        <w:pStyle w:val="Bibliography"/>
      </w:pPr>
      <w:r>
        <w:t xml:space="preserve">Zhang Y yan, Zhang D min, Zhong Y, Chang X jun, Hu M lun, Cheng C zhen. 2017.</w:t>
      </w:r>
      <w:r>
        <w:t xml:space="preserve"> </w:t>
      </w:r>
      <w:hyperlink r:id="rId263">
        <w:r>
          <w:rPr>
            <w:rStyle w:val="Hyperlink"/>
          </w:rPr>
          <w:t xml:space="preserve">A simple and efficient in planta transformation method for pommelo (Citrus maxima) using Agrobacterium tumefaciens</w:t>
        </w:r>
      </w:hyperlink>
      <w:r>
        <w:t xml:space="preserve">. Scientia Horticulturae. 214:174–179.</w:t>
      </w:r>
    </w:p>
    <w:bookmarkEnd w:id="264"/>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1" Target="media/rId161.png" /><Relationship Type="http://schemas.openxmlformats.org/officeDocument/2006/relationships/image" Id="rId77" Target="media/rId77.png" /><Relationship Type="http://schemas.openxmlformats.org/officeDocument/2006/relationships/image" Id="rId164" Target="media/rId164.png" /><Relationship Type="http://schemas.openxmlformats.org/officeDocument/2006/relationships/image" Id="rId137" Target="media/rId137.png" /><Relationship Type="http://schemas.openxmlformats.org/officeDocument/2006/relationships/image" Id="rId34" Target="media/rId34.png" /><Relationship Type="http://schemas.openxmlformats.org/officeDocument/2006/relationships/image" Id="rId144" Target="media/rId144.png" /><Relationship Type="http://schemas.openxmlformats.org/officeDocument/2006/relationships/image" Id="rId141" Target="media/rId141.png" /><Relationship Type="http://schemas.openxmlformats.org/officeDocument/2006/relationships/image" Id="rId117" Target="media/rId117.png" /><Relationship Type="http://schemas.openxmlformats.org/officeDocument/2006/relationships/image" Id="rId167" Target="media/rId167.png" /><Relationship Type="http://schemas.openxmlformats.org/officeDocument/2006/relationships/image" Id="rId109" Target="media/rId109.png" /><Relationship Type="http://schemas.openxmlformats.org/officeDocument/2006/relationships/image" Id="rId112" Target="media/rId112.jpg" /><Relationship Type="http://schemas.openxmlformats.org/officeDocument/2006/relationships/image" Id="rId130" Target="media/rId130.png" /><Relationship Type="http://schemas.openxmlformats.org/officeDocument/2006/relationships/image" Id="rId74" Target="media/rId74.png" /><Relationship Type="http://schemas.openxmlformats.org/officeDocument/2006/relationships/image" Id="rId126" Target="media/rId126.jp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123" Target="media/rId123.png" /><Relationship Type="http://schemas.openxmlformats.org/officeDocument/2006/relationships/hyperlink" Id="rId224" Target="http://dx.doi.org/10.1016/j.fgb.2015.04.006" TargetMode="External" /><Relationship Type="http://schemas.openxmlformats.org/officeDocument/2006/relationships/hyperlink" Id="rId177" Target="http://dx.doi.org/10.1016/j.molp.2015.02.011" TargetMode="External" /><Relationship Type="http://schemas.openxmlformats.org/officeDocument/2006/relationships/hyperlink" Id="rId247" Target="http://dx.doi.org/10.1016/j.wace.2014.04.004" TargetMode="External" /><Relationship Type="http://schemas.openxmlformats.org/officeDocument/2006/relationships/hyperlink" Id="rId194" Target="http://dx.doi.org/10.1038/s41477-020-0670-y" TargetMode="External" /><Relationship Type="http://schemas.openxmlformats.org/officeDocument/2006/relationships/hyperlink" Id="rId170"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245" Target="https://doi.org/10.1007/10_2008_095" TargetMode="External" /><Relationship Type="http://schemas.openxmlformats.org/officeDocument/2006/relationships/hyperlink" Id="rId235" Target="https://doi.org/10.1007/BF02772108" TargetMode="External" /><Relationship Type="http://schemas.openxmlformats.org/officeDocument/2006/relationships/hyperlink" Id="rId227" Target="https://doi.org/10.1007/s11103-018-0786-x" TargetMode="External" /><Relationship Type="http://schemas.openxmlformats.org/officeDocument/2006/relationships/hyperlink" Id="rId216" Target="https://doi.org/10.1007/s11240-013-0393-0" TargetMode="External" /><Relationship Type="http://schemas.openxmlformats.org/officeDocument/2006/relationships/hyperlink" Id="rId231" Target="https://doi.org/10.1007/s11816-012-0237-0" TargetMode="External" /><Relationship Type="http://schemas.openxmlformats.org/officeDocument/2006/relationships/hyperlink" Id="rId202" Target="https://doi.org/10.1007/s12571-010-0070-7" TargetMode="External" /><Relationship Type="http://schemas.openxmlformats.org/officeDocument/2006/relationships/hyperlink" Id="rId190" Target="https://doi.org/10.1016/j.biotechadv.2004.09.008" TargetMode="External" /><Relationship Type="http://schemas.openxmlformats.org/officeDocument/2006/relationships/hyperlink" Id="rId196" Target="https://doi.org/10.1016/j.envsci.2009.04.007" TargetMode="External" /><Relationship Type="http://schemas.openxmlformats.org/officeDocument/2006/relationships/hyperlink" Id="rId263" Target="https://doi.org/10.1016/j.scienta.2016.11.033" TargetMode="External" /><Relationship Type="http://schemas.openxmlformats.org/officeDocument/2006/relationships/hyperlink" Id="rId213" Target="https://doi.org/10.1023/A:1015086831467" TargetMode="External" /><Relationship Type="http://schemas.openxmlformats.org/officeDocument/2006/relationships/hyperlink" Id="rId220" Target="https://doi.org/10.1023/a:1006423110134" TargetMode="External" /><Relationship Type="http://schemas.openxmlformats.org/officeDocument/2006/relationships/hyperlink" Id="rId206" Target="https://doi.org/10.1038/nmeth.1318" TargetMode="External" /><Relationship Type="http://schemas.openxmlformats.org/officeDocument/2006/relationships/hyperlink" Id="rId261" Target="https://doi.org/10.1038/nprot.2006.97" TargetMode="External" /><Relationship Type="http://schemas.openxmlformats.org/officeDocument/2006/relationships/hyperlink" Id="rId229" Target="https://doi.org/10.1038/s41587-019-0337-2" TargetMode="External" /><Relationship Type="http://schemas.openxmlformats.org/officeDocument/2006/relationships/hyperlink" Id="rId241" Target="https://doi.org/10.1046/j.0960-7412.2000.00942.x" TargetMode="External" /><Relationship Type="http://schemas.openxmlformats.org/officeDocument/2006/relationships/hyperlink" Id="rId204" Target="https://doi.org/10.1073/pnas.1208507109" TargetMode="External" /><Relationship Type="http://schemas.openxmlformats.org/officeDocument/2006/relationships/hyperlink" Id="rId183" Target="https://doi.org/10.1073/pnas.93.3.1156" TargetMode="External" /><Relationship Type="http://schemas.openxmlformats.org/officeDocument/2006/relationships/hyperlink" Id="rId251" Target="https://doi.org/10.1093/aob/mcf255" TargetMode="External" /><Relationship Type="http://schemas.openxmlformats.org/officeDocument/2006/relationships/hyperlink" Id="rId209" Target="https://doi.org/10.1093/nar/gkr947" TargetMode="External" /><Relationship Type="http://schemas.openxmlformats.org/officeDocument/2006/relationships/hyperlink" Id="rId211" Target="https://doi.org/10.1094/MPMI-21-12-1539" TargetMode="External" /><Relationship Type="http://schemas.openxmlformats.org/officeDocument/2006/relationships/hyperlink" Id="rId181" Target="https://doi.org/10.1105/tpc.16.00922" TargetMode="External" /><Relationship Type="http://schemas.openxmlformats.org/officeDocument/2006/relationships/hyperlink" Id="rId179" Target="https://doi.org/10.1126/science.1138140" TargetMode="External" /><Relationship Type="http://schemas.openxmlformats.org/officeDocument/2006/relationships/hyperlink" Id="rId253" Target="https://doi.org/10.1126/science.1183700" TargetMode="External" /><Relationship Type="http://schemas.openxmlformats.org/officeDocument/2006/relationships/hyperlink" Id="rId218" Target="https://doi.org/10.1126/science.1225829" TargetMode="External" /><Relationship Type="http://schemas.openxmlformats.org/officeDocument/2006/relationships/hyperlink" Id="rId255" Target="https://doi.org/10.1134/S002689332102031X" TargetMode="External" /><Relationship Type="http://schemas.openxmlformats.org/officeDocument/2006/relationships/hyperlink" Id="rId243" Target="https://doi.org/10.1155/2007/82612" TargetMode="External" /><Relationship Type="http://schemas.openxmlformats.org/officeDocument/2006/relationships/hyperlink" Id="rId233" Target="https://doi.org/10.1186/1472-6750-11-66" TargetMode="External" /><Relationship Type="http://schemas.openxmlformats.org/officeDocument/2006/relationships/hyperlink" Id="rId188" Target="https://doi.org/10.1534/genetics.110.120717" TargetMode="External" /><Relationship Type="http://schemas.openxmlformats.org/officeDocument/2006/relationships/hyperlink" Id="rId192" Target="https://doi.org/10.3390/ijms20010209" TargetMode="External" /><Relationship Type="http://schemas.openxmlformats.org/officeDocument/2006/relationships/hyperlink" Id="rId249" Target="https://doi.org/10.3390/ijms20102594" TargetMode="External" /><Relationship Type="http://schemas.openxmlformats.org/officeDocument/2006/relationships/hyperlink" Id="rId258" Target="https://doi.org/10.3390/su5114797" TargetMode="External" /><Relationship Type="http://schemas.openxmlformats.org/officeDocument/2006/relationships/hyperlink" Id="rId222" Target="https://doi.org/10.3791/3923" TargetMode="External" /><Relationship Type="http://schemas.openxmlformats.org/officeDocument/2006/relationships/hyperlink" Id="rId156"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60"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54"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39"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237" Target="https://www.ncbi.nlm.nih.gov/pubmed/12378268" TargetMode="External" /><Relationship Type="http://schemas.openxmlformats.org/officeDocument/2006/relationships/hyperlink" Id="rId199" Target="https://www.ncbi.nlm.nih.gov/pubmed/26374185" TargetMode="External" /><Relationship Type="http://schemas.openxmlformats.org/officeDocument/2006/relationships/hyperlink" Id="rId186"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224" Target="http://dx.doi.org/10.1016/j.fgb.2015.04.006" TargetMode="External" /><Relationship Type="http://schemas.openxmlformats.org/officeDocument/2006/relationships/hyperlink" Id="rId177" Target="http://dx.doi.org/10.1016/j.molp.2015.02.011" TargetMode="External" /><Relationship Type="http://schemas.openxmlformats.org/officeDocument/2006/relationships/hyperlink" Id="rId247" Target="http://dx.doi.org/10.1016/j.wace.2014.04.004" TargetMode="External" /><Relationship Type="http://schemas.openxmlformats.org/officeDocument/2006/relationships/hyperlink" Id="rId194" Target="http://dx.doi.org/10.1038/s41477-020-0670-y" TargetMode="External" /><Relationship Type="http://schemas.openxmlformats.org/officeDocument/2006/relationships/hyperlink" Id="rId170"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245" Target="https://doi.org/10.1007/10_2008_095" TargetMode="External" /><Relationship Type="http://schemas.openxmlformats.org/officeDocument/2006/relationships/hyperlink" Id="rId235" Target="https://doi.org/10.1007/BF02772108" TargetMode="External" /><Relationship Type="http://schemas.openxmlformats.org/officeDocument/2006/relationships/hyperlink" Id="rId227" Target="https://doi.org/10.1007/s11103-018-0786-x" TargetMode="External" /><Relationship Type="http://schemas.openxmlformats.org/officeDocument/2006/relationships/hyperlink" Id="rId216" Target="https://doi.org/10.1007/s11240-013-0393-0" TargetMode="External" /><Relationship Type="http://schemas.openxmlformats.org/officeDocument/2006/relationships/hyperlink" Id="rId231" Target="https://doi.org/10.1007/s11816-012-0237-0" TargetMode="External" /><Relationship Type="http://schemas.openxmlformats.org/officeDocument/2006/relationships/hyperlink" Id="rId202" Target="https://doi.org/10.1007/s12571-010-0070-7" TargetMode="External" /><Relationship Type="http://schemas.openxmlformats.org/officeDocument/2006/relationships/hyperlink" Id="rId190" Target="https://doi.org/10.1016/j.biotechadv.2004.09.008" TargetMode="External" /><Relationship Type="http://schemas.openxmlformats.org/officeDocument/2006/relationships/hyperlink" Id="rId196" Target="https://doi.org/10.1016/j.envsci.2009.04.007" TargetMode="External" /><Relationship Type="http://schemas.openxmlformats.org/officeDocument/2006/relationships/hyperlink" Id="rId263" Target="https://doi.org/10.1016/j.scienta.2016.11.033" TargetMode="External" /><Relationship Type="http://schemas.openxmlformats.org/officeDocument/2006/relationships/hyperlink" Id="rId213" Target="https://doi.org/10.1023/A:1015086831467" TargetMode="External" /><Relationship Type="http://schemas.openxmlformats.org/officeDocument/2006/relationships/hyperlink" Id="rId220" Target="https://doi.org/10.1023/a:1006423110134" TargetMode="External" /><Relationship Type="http://schemas.openxmlformats.org/officeDocument/2006/relationships/hyperlink" Id="rId206" Target="https://doi.org/10.1038/nmeth.1318" TargetMode="External" /><Relationship Type="http://schemas.openxmlformats.org/officeDocument/2006/relationships/hyperlink" Id="rId261" Target="https://doi.org/10.1038/nprot.2006.97" TargetMode="External" /><Relationship Type="http://schemas.openxmlformats.org/officeDocument/2006/relationships/hyperlink" Id="rId229" Target="https://doi.org/10.1038/s41587-019-0337-2" TargetMode="External" /><Relationship Type="http://schemas.openxmlformats.org/officeDocument/2006/relationships/hyperlink" Id="rId241" Target="https://doi.org/10.1046/j.0960-7412.2000.00942.x" TargetMode="External" /><Relationship Type="http://schemas.openxmlformats.org/officeDocument/2006/relationships/hyperlink" Id="rId204" Target="https://doi.org/10.1073/pnas.1208507109" TargetMode="External" /><Relationship Type="http://schemas.openxmlformats.org/officeDocument/2006/relationships/hyperlink" Id="rId183" Target="https://doi.org/10.1073/pnas.93.3.1156" TargetMode="External" /><Relationship Type="http://schemas.openxmlformats.org/officeDocument/2006/relationships/hyperlink" Id="rId251" Target="https://doi.org/10.1093/aob/mcf255" TargetMode="External" /><Relationship Type="http://schemas.openxmlformats.org/officeDocument/2006/relationships/hyperlink" Id="rId209" Target="https://doi.org/10.1093/nar/gkr947" TargetMode="External" /><Relationship Type="http://schemas.openxmlformats.org/officeDocument/2006/relationships/hyperlink" Id="rId211" Target="https://doi.org/10.1094/MPMI-21-12-1539" TargetMode="External" /><Relationship Type="http://schemas.openxmlformats.org/officeDocument/2006/relationships/hyperlink" Id="rId181" Target="https://doi.org/10.1105/tpc.16.00922" TargetMode="External" /><Relationship Type="http://schemas.openxmlformats.org/officeDocument/2006/relationships/hyperlink" Id="rId179" Target="https://doi.org/10.1126/science.1138140" TargetMode="External" /><Relationship Type="http://schemas.openxmlformats.org/officeDocument/2006/relationships/hyperlink" Id="rId253" Target="https://doi.org/10.1126/science.1183700" TargetMode="External" /><Relationship Type="http://schemas.openxmlformats.org/officeDocument/2006/relationships/hyperlink" Id="rId218" Target="https://doi.org/10.1126/science.1225829" TargetMode="External" /><Relationship Type="http://schemas.openxmlformats.org/officeDocument/2006/relationships/hyperlink" Id="rId255" Target="https://doi.org/10.1134/S002689332102031X" TargetMode="External" /><Relationship Type="http://schemas.openxmlformats.org/officeDocument/2006/relationships/hyperlink" Id="rId243" Target="https://doi.org/10.1155/2007/82612" TargetMode="External" /><Relationship Type="http://schemas.openxmlformats.org/officeDocument/2006/relationships/hyperlink" Id="rId233" Target="https://doi.org/10.1186/1472-6750-11-66" TargetMode="External" /><Relationship Type="http://schemas.openxmlformats.org/officeDocument/2006/relationships/hyperlink" Id="rId188" Target="https://doi.org/10.1534/genetics.110.120717" TargetMode="External" /><Relationship Type="http://schemas.openxmlformats.org/officeDocument/2006/relationships/hyperlink" Id="rId192" Target="https://doi.org/10.3390/ijms20010209" TargetMode="External" /><Relationship Type="http://schemas.openxmlformats.org/officeDocument/2006/relationships/hyperlink" Id="rId249" Target="https://doi.org/10.3390/ijms20102594" TargetMode="External" /><Relationship Type="http://schemas.openxmlformats.org/officeDocument/2006/relationships/hyperlink" Id="rId258" Target="https://doi.org/10.3390/su5114797" TargetMode="External" /><Relationship Type="http://schemas.openxmlformats.org/officeDocument/2006/relationships/hyperlink" Id="rId222" Target="https://doi.org/10.3791/3923" TargetMode="External" /><Relationship Type="http://schemas.openxmlformats.org/officeDocument/2006/relationships/hyperlink" Id="rId156"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60"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54"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39"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237" Target="https://www.ncbi.nlm.nih.gov/pubmed/12378268" TargetMode="External" /><Relationship Type="http://schemas.openxmlformats.org/officeDocument/2006/relationships/hyperlink" Id="rId199" Target="https://www.ncbi.nlm.nih.gov/pubmed/26374185" TargetMode="External" /><Relationship Type="http://schemas.openxmlformats.org/officeDocument/2006/relationships/hyperlink" Id="rId186"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2022-02-06T02:43:16Z</dcterms:created>
  <dcterms:modified xsi:type="dcterms:W3CDTF">2022-02-06T02:43:16Z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output">
    <vt:lpwstr/>
  </property>
</Properties>
</file>